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C" w:rsidRPr="00EE0DFE" w:rsidRDefault="00044B2C" w:rsidP="00044B2C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044B2C" w:rsidRPr="00EE0DFE" w:rsidRDefault="00044B2C" w:rsidP="00044B2C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44B2C" w:rsidRPr="00EE0DFE" w:rsidRDefault="00044B2C" w:rsidP="00044B2C">
      <w:pPr>
        <w:pStyle w:val="12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044B2C" w:rsidRPr="00544608" w:rsidTr="00AB07DE">
        <w:tc>
          <w:tcPr>
            <w:tcW w:w="4680" w:type="dxa"/>
            <w:tcBorders>
              <w:bottom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44B2C" w:rsidRPr="00544608" w:rsidTr="00AB07DE">
        <w:tc>
          <w:tcPr>
            <w:tcW w:w="4680" w:type="dxa"/>
            <w:tcBorders>
              <w:top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044B2C" w:rsidRPr="00544608" w:rsidRDefault="00044B2C" w:rsidP="00AB07D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44B2C" w:rsidRPr="00544608" w:rsidTr="00AB07DE">
        <w:tc>
          <w:tcPr>
            <w:tcW w:w="4680" w:type="dxa"/>
          </w:tcPr>
          <w:p w:rsidR="00044B2C" w:rsidRPr="00544608" w:rsidRDefault="00D50FC0" w:rsidP="00D50FC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18</w:t>
            </w:r>
            <w:r w:rsidR="00044B2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июня</w:t>
            </w:r>
            <w:r w:rsidR="00044B2C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044B2C"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="00044B2C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044B2C" w:rsidRPr="00544608" w:rsidRDefault="00044B2C" w:rsidP="00D50FC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D50FC0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</w:p>
        </w:tc>
      </w:tr>
    </w:tbl>
    <w:p w:rsidR="00044B2C" w:rsidRDefault="00044B2C" w:rsidP="00044B2C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 w:rsidR="00D50FC0">
        <w:rPr>
          <w:rFonts w:ascii="Arial" w:hAnsi="Arial" w:cs="Arial"/>
        </w:rPr>
        <w:t xml:space="preserve"> </w:t>
      </w:r>
    </w:p>
    <w:p w:rsidR="00044B2C" w:rsidRPr="00544608" w:rsidRDefault="00044B2C" w:rsidP="00044B2C">
      <w:pPr>
        <w:jc w:val="center"/>
        <w:rPr>
          <w:rFonts w:ascii="Arial" w:hAnsi="Arial" w:cs="Arial"/>
        </w:rPr>
      </w:pPr>
    </w:p>
    <w:p w:rsidR="00044B2C" w:rsidRPr="00577AA7" w:rsidRDefault="00044B2C" w:rsidP="00044B2C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Орловского сельского поселения</w:t>
      </w:r>
    </w:p>
    <w:p w:rsidR="00044B2C" w:rsidRPr="00577AA7" w:rsidRDefault="00044B2C" w:rsidP="00044B2C">
      <w:pPr>
        <w:jc w:val="center"/>
      </w:pPr>
    </w:p>
    <w:p w:rsidR="00044B2C" w:rsidRPr="001231F2" w:rsidRDefault="00044B2C" w:rsidP="00044B2C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«Орловское сельское поселение»</w:t>
      </w:r>
    </w:p>
    <w:p w:rsidR="00044B2C" w:rsidRPr="00577AA7" w:rsidRDefault="00044B2C" w:rsidP="00044B2C"/>
    <w:p w:rsidR="00044B2C" w:rsidRPr="004B5C80" w:rsidRDefault="00044B2C" w:rsidP="00044B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Орловского сельского поселения</w:t>
      </w:r>
    </w:p>
    <w:p w:rsidR="00044B2C" w:rsidRPr="004B5C80" w:rsidRDefault="00044B2C" w:rsidP="00044B2C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044B2C" w:rsidRPr="00577AA7" w:rsidRDefault="00044B2C" w:rsidP="00044B2C">
      <w:pPr>
        <w:jc w:val="center"/>
        <w:rPr>
          <w:b/>
          <w:bCs/>
        </w:rPr>
      </w:pPr>
    </w:p>
    <w:p w:rsidR="00044B2C" w:rsidRPr="001231F2" w:rsidRDefault="00044B2C" w:rsidP="00044B2C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044B2C" w:rsidRPr="001231F2" w:rsidRDefault="00044B2C" w:rsidP="00044B2C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Орловского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r w:rsidRPr="00BD1150">
          <w:rPr>
            <w:rStyle w:val="a3"/>
            <w:rFonts w:ascii="Arial" w:eastAsia="Calibri" w:hAnsi="Arial" w:cs="Arial"/>
          </w:rPr>
          <w:t>.ru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044B2C" w:rsidRPr="00460FCB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643593"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460FCB">
        <w:rPr>
          <w:rFonts w:ascii="Arial" w:hAnsi="Arial" w:cs="Arial"/>
          <w:color w:val="auto"/>
        </w:rPr>
        <w:t>публикова</w:t>
      </w:r>
      <w:r w:rsidR="00643593">
        <w:rPr>
          <w:rFonts w:ascii="Arial" w:hAnsi="Arial" w:cs="Arial"/>
          <w:color w:val="auto"/>
        </w:rPr>
        <w:t>ния</w:t>
      </w:r>
      <w:r w:rsidRPr="00460FCB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 w:rsidR="00643593">
        <w:rPr>
          <w:rFonts w:ascii="Arial" w:hAnsi="Arial" w:cs="Arial"/>
          <w:color w:val="auto"/>
        </w:rPr>
        <w:t>.Р</w:t>
      </w:r>
      <w:r w:rsidRPr="00460FCB">
        <w:rPr>
          <w:rFonts w:ascii="Arial" w:hAnsi="Arial" w:cs="Arial"/>
          <w:color w:val="auto"/>
        </w:rPr>
        <w:t>азместить</w:t>
      </w:r>
      <w:r w:rsidR="00643593">
        <w:rPr>
          <w:rFonts w:ascii="Arial" w:hAnsi="Arial" w:cs="Arial"/>
          <w:color w:val="auto"/>
        </w:rPr>
        <w:t xml:space="preserve"> решение</w:t>
      </w:r>
      <w:r w:rsidRPr="00460FCB">
        <w:rPr>
          <w:rFonts w:ascii="Arial" w:hAnsi="Arial" w:cs="Arial"/>
          <w:color w:val="auto"/>
        </w:rPr>
        <w:t xml:space="preserve"> на официальном сайте Администрации Верхнекетского района </w:t>
      </w:r>
      <w:bookmarkStart w:id="0" w:name="_GoBack"/>
      <w:bookmarkEnd w:id="0"/>
      <w:r w:rsidRPr="00460FCB">
        <w:rPr>
          <w:rFonts w:ascii="Arial" w:hAnsi="Arial" w:cs="Arial"/>
          <w:color w:val="auto"/>
        </w:rPr>
        <w:t>в информационно-телекоммуникационной сети «Интернет».</w:t>
      </w:r>
    </w:p>
    <w:p w:rsidR="00044B2C" w:rsidRPr="008C2576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460FCB">
        <w:rPr>
          <w:rFonts w:ascii="Arial" w:hAnsi="Arial" w:cs="Arial"/>
          <w:color w:val="auto"/>
        </w:rPr>
        <w:t>4. Контроль за</w:t>
      </w:r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 сельского поселения.</w:t>
      </w: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1231F2" w:rsidRDefault="00044B2C" w:rsidP="00044B2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44B2C" w:rsidRPr="00577AA7" w:rsidRDefault="00044B2C" w:rsidP="00044B2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Глава Орловского сельского поселения                                                        Е.М.Стражева</w:t>
      </w: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both"/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Pr="00577AA7" w:rsidRDefault="00044B2C" w:rsidP="00044B2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044B2C" w:rsidRDefault="00044B2C" w:rsidP="00044B2C">
      <w:pPr>
        <w:autoSpaceDE w:val="0"/>
        <w:autoSpaceDN w:val="0"/>
        <w:adjustRightInd w:val="0"/>
        <w:ind w:firstLine="720"/>
        <w:jc w:val="right"/>
        <w:sectPr w:rsidR="00044B2C" w:rsidSect="003F0615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50FC0" w:rsidRDefault="00044B2C" w:rsidP="00044B2C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</w:t>
      </w:r>
    </w:p>
    <w:p w:rsidR="00044B2C" w:rsidRDefault="00044B2C" w:rsidP="00044B2C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решению Совета Орловского сельского поселения</w:t>
      </w:r>
    </w:p>
    <w:p w:rsidR="00044B2C" w:rsidRPr="00501806" w:rsidRDefault="00044B2C" w:rsidP="00044B2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от  </w:t>
      </w:r>
      <w:r w:rsidR="00D50FC0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D50FC0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.2015 № </w:t>
      </w:r>
      <w:r w:rsidR="00D50FC0">
        <w:rPr>
          <w:rFonts w:ascii="Arial" w:hAnsi="Arial" w:cs="Arial"/>
        </w:rPr>
        <w:t>20</w:t>
      </w:r>
    </w:p>
    <w:p w:rsidR="00044B2C" w:rsidRPr="00AE00D9" w:rsidRDefault="00044B2C" w:rsidP="00044B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44B2C" w:rsidRPr="00AE00D9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044B2C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Орловского сельского поселения</w:t>
      </w:r>
    </w:p>
    <w:p w:rsidR="00044B2C" w:rsidRPr="00AE00D9" w:rsidRDefault="00044B2C" w:rsidP="00044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44B2C" w:rsidRPr="00AE00D9" w:rsidRDefault="00044B2C" w:rsidP="00044B2C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044B2C" w:rsidRPr="00AE00D9" w:rsidRDefault="00044B2C" w:rsidP="00044B2C">
      <w:pPr>
        <w:ind w:left="-567" w:firstLine="851"/>
        <w:rPr>
          <w:rFonts w:ascii="Arial" w:hAnsi="Arial" w:cs="Arial"/>
        </w:rPr>
      </w:pPr>
    </w:p>
    <w:p w:rsidR="00044B2C" w:rsidRPr="00231D65" w:rsidRDefault="00044B2C" w:rsidP="00044B2C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r>
        <w:rPr>
          <w:rFonts w:ascii="Arial" w:hAnsi="Arial" w:cs="Arial"/>
          <w:color w:val="000000"/>
        </w:rPr>
        <w:t>Орловского сельского поселения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9774B7">
        <w:rPr>
          <w:rFonts w:ascii="Arial" w:hAnsi="Arial" w:cs="Arial"/>
        </w:rPr>
        <w:t>водоснабжения и водоотведения</w:t>
      </w:r>
      <w:r>
        <w:rPr>
          <w:rFonts w:ascii="Arial" w:hAnsi="Arial" w:cs="Arial"/>
        </w:rPr>
        <w:t>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 xml:space="preserve">и массового спорта, образования,здравоохранения,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РосНИПИУрбанистики, г. Санкт-Петербург), Генерального плана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 xml:space="preserve">ского сельского поселения, утверждённого решением Совета </w:t>
      </w:r>
      <w:r>
        <w:rPr>
          <w:rFonts w:ascii="Arial" w:hAnsi="Arial" w:cs="Arial"/>
        </w:rPr>
        <w:t>Орлов</w:t>
      </w:r>
      <w:r w:rsidRPr="00231D65">
        <w:rPr>
          <w:rFonts w:ascii="Arial" w:hAnsi="Arial" w:cs="Arial"/>
        </w:rPr>
        <w:t>ского сельского поселения от 1</w:t>
      </w:r>
      <w:r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>
        <w:rPr>
          <w:rFonts w:ascii="Arial" w:hAnsi="Arial" w:cs="Arial"/>
        </w:rPr>
        <w:t>34</w:t>
      </w:r>
      <w:r w:rsidRPr="00231D65">
        <w:rPr>
          <w:rFonts w:ascii="Arial" w:hAnsi="Arial" w:cs="Arial"/>
        </w:rPr>
        <w:t xml:space="preserve"> (разработчик – ООО «Проспект-2», г.Томск).</w:t>
      </w:r>
    </w:p>
    <w:p w:rsidR="00044B2C" w:rsidRPr="00AE00D9" w:rsidRDefault="00044B2C" w:rsidP="00044B2C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044B2C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044B2C" w:rsidRPr="005B545D" w:rsidRDefault="00044B2C" w:rsidP="00044B2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5B545D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044B2C" w:rsidRPr="00AE00D9" w:rsidRDefault="00044B2C" w:rsidP="00044B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044B2C" w:rsidRPr="00AE00D9" w:rsidRDefault="00044B2C" w:rsidP="00044B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044B2C" w:rsidRPr="00FA354C" w:rsidRDefault="00044B2C" w:rsidP="00044B2C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044B2C" w:rsidRPr="00FA354C" w:rsidRDefault="00044B2C" w:rsidP="00044B2C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843"/>
      </w:tblGrid>
      <w:tr w:rsidR="00044B2C" w:rsidRPr="00FA354C" w:rsidTr="00AB07D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044B2C" w:rsidRPr="00FA354C" w:rsidTr="00AB07DE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млн.кВт.час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044B2C" w:rsidRPr="00FA354C" w:rsidRDefault="00044B2C" w:rsidP="00044B2C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обоснованию, часть 9, раздел 9.1, таблица 9.1.6)  в соответствии с «СП </w:t>
      </w:r>
      <w:r w:rsidRPr="00FA354C">
        <w:rPr>
          <w:rFonts w:ascii="Arial" w:hAnsi="Arial" w:cs="Arial"/>
        </w:rPr>
        <w:lastRenderedPageBreak/>
        <w:t>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044B2C" w:rsidRPr="00FA354C" w:rsidRDefault="00044B2C" w:rsidP="00044B2C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31"/>
        <w:numPr>
          <w:ilvl w:val="1"/>
          <w:numId w:val="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044B2C" w:rsidRPr="00FA354C" w:rsidRDefault="00044B2C" w:rsidP="00044B2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044B2C" w:rsidRPr="00FA354C" w:rsidTr="00AB07DE">
        <w:trPr>
          <w:trHeight w:val="417"/>
        </w:trPr>
        <w:tc>
          <w:tcPr>
            <w:tcW w:w="49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912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44B2C" w:rsidRPr="00FA354C" w:rsidTr="00AB07DE">
        <w:trPr>
          <w:trHeight w:val="606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044B2C" w:rsidRPr="00FA354C" w:rsidTr="00AB07DE">
        <w:trPr>
          <w:trHeight w:val="537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2268" w:type="dxa"/>
            <w:vMerge/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</w:tr>
      <w:tr w:rsidR="00044B2C" w:rsidRPr="00FA354C" w:rsidTr="00AB07DE">
        <w:trPr>
          <w:trHeight w:val="828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</w:tr>
      <w:tr w:rsidR="00044B2C" w:rsidRPr="00FA354C" w:rsidTr="00AB07D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44B2C" w:rsidRPr="00FA354C" w:rsidRDefault="00044B2C" w:rsidP="00AB07D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044B2C" w:rsidRPr="00FA354C" w:rsidRDefault="00044B2C" w:rsidP="00044B2C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044B2C" w:rsidRPr="00FA354C" w:rsidRDefault="00044B2C" w:rsidP="00044B2C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044B2C" w:rsidRPr="00FA354C" w:rsidRDefault="00044B2C" w:rsidP="00044B2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843"/>
      </w:tblGrid>
      <w:tr w:rsidR="00044B2C" w:rsidRPr="00FA354C" w:rsidTr="00AB07DE">
        <w:trPr>
          <w:trHeight w:val="293"/>
        </w:trPr>
        <w:tc>
          <w:tcPr>
            <w:tcW w:w="490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77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44B2C" w:rsidRPr="00FA354C" w:rsidTr="00AB07DE">
        <w:trPr>
          <w:trHeight w:val="954"/>
        </w:trPr>
        <w:tc>
          <w:tcPr>
            <w:tcW w:w="490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044B2C" w:rsidRPr="00FA354C" w:rsidRDefault="00044B2C" w:rsidP="00AB07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0,10</w:t>
            </w:r>
          </w:p>
        </w:tc>
        <w:tc>
          <w:tcPr>
            <w:tcW w:w="2268" w:type="dxa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044B2C" w:rsidRPr="00FA354C" w:rsidTr="00AB07D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44B2C" w:rsidRPr="00FA354C" w:rsidRDefault="00044B2C" w:rsidP="00AB07D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044B2C" w:rsidRPr="00FA354C" w:rsidRDefault="00044B2C" w:rsidP="00044B2C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сооружения»(актуализированная редакция СНиП 2.04.03-85).</w:t>
      </w:r>
    </w:p>
    <w:p w:rsidR="00044B2C" w:rsidRPr="008370F6" w:rsidRDefault="00044B2C" w:rsidP="00044B2C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044B2C" w:rsidRPr="00FA354C" w:rsidRDefault="00044B2C" w:rsidP="00044B2C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843"/>
      </w:tblGrid>
      <w:tr w:rsidR="00044B2C" w:rsidRPr="00FA354C" w:rsidTr="00AB07DE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044B2C" w:rsidRPr="00FA354C" w:rsidTr="00AB07DE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44B2C" w:rsidRPr="00FA354C" w:rsidRDefault="00044B2C" w:rsidP="00044B2C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044B2C" w:rsidRPr="00FA354C" w:rsidRDefault="00044B2C" w:rsidP="00044B2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FA354C" w:rsidRDefault="00044B2C" w:rsidP="00044B2C">
      <w:pPr>
        <w:pStyle w:val="11"/>
        <w:spacing w:after="0"/>
        <w:ind w:left="1134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044B2C" w:rsidRPr="00FA354C" w:rsidRDefault="00044B2C" w:rsidP="00044B2C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843"/>
      </w:tblGrid>
      <w:tr w:rsidR="00044B2C" w:rsidRPr="00FA354C" w:rsidTr="00AB07DE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533187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044B2C" w:rsidRPr="00FA354C" w:rsidTr="00AB07DE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Радиус транспортной доступности общеобразовательных организаций (в одну </w:t>
            </w:r>
            <w:r w:rsidRPr="00FA354C">
              <w:rPr>
                <w:rFonts w:ascii="Arial" w:hAnsi="Arial" w:cs="Arial"/>
              </w:rPr>
              <w:lastRenderedPageBreak/>
              <w:t>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044B2C" w:rsidRPr="00FA354C" w:rsidRDefault="00044B2C" w:rsidP="00044B2C">
      <w:pPr>
        <w:pStyle w:val="11"/>
        <w:numPr>
          <w:ilvl w:val="2"/>
          <w:numId w:val="6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044B2C" w:rsidRPr="00FA354C" w:rsidRDefault="00044B2C" w:rsidP="00044B2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pStyle w:val="11"/>
        <w:spacing w:after="0"/>
        <w:ind w:left="896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numPr>
          <w:ilvl w:val="1"/>
          <w:numId w:val="6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044B2C" w:rsidRPr="00FA354C" w:rsidRDefault="00044B2C" w:rsidP="00044B2C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843"/>
      </w:tblGrid>
      <w:tr w:rsidR="00044B2C" w:rsidRPr="00FA354C" w:rsidTr="00AB07D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533187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ГрадостроительствоПланировка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044B2C" w:rsidRPr="00FA354C" w:rsidRDefault="00044B2C" w:rsidP="00044B2C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044B2C" w:rsidRPr="00FA354C" w:rsidRDefault="00044B2C" w:rsidP="00044B2C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044B2C" w:rsidRPr="00FA354C" w:rsidRDefault="00044B2C" w:rsidP="00044B2C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1909"/>
      </w:tblGrid>
      <w:tr w:rsidR="00044B2C" w:rsidRPr="00FA354C" w:rsidTr="00AB07DE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044B2C" w:rsidRPr="00FA354C" w:rsidTr="00AB07DE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>2.</w:t>
      </w:r>
      <w:r w:rsidR="00D126C0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>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533187" w:rsidRDefault="00044B2C" w:rsidP="00044B2C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44B2C" w:rsidRPr="00FA354C" w:rsidRDefault="00D126C0" w:rsidP="00D126C0">
      <w:pPr>
        <w:pStyle w:val="11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044B2C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044B2C" w:rsidRPr="00FA354C" w:rsidRDefault="00044B2C" w:rsidP="00044B2C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126C0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701"/>
      </w:tblGrid>
      <w:tr w:rsidR="00044B2C" w:rsidRPr="00FA354C" w:rsidTr="00AB07DE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044B2C" w:rsidRPr="00FA354C" w:rsidTr="00AB07DE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ГрадостроительствоПланировка и застройка городских и сельских поселений»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м2</w:t>
              </w:r>
            </w:smartTag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кг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  <w:tr w:rsidR="00044B2C" w:rsidRPr="00FA354C" w:rsidTr="00AB07DE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044B2C" w:rsidRPr="00FA354C" w:rsidRDefault="00044B2C" w:rsidP="00AB07D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A06F8A" w:rsidRDefault="00044B2C" w:rsidP="00AB07D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2C" w:rsidRPr="00FA354C" w:rsidRDefault="00044B2C" w:rsidP="00AB07DE">
            <w:pPr>
              <w:rPr>
                <w:rFonts w:ascii="Arial" w:hAnsi="Arial" w:cs="Arial"/>
              </w:rPr>
            </w:pPr>
          </w:p>
        </w:tc>
      </w:tr>
    </w:tbl>
    <w:p w:rsidR="00044B2C" w:rsidRPr="00FA354C" w:rsidRDefault="00044B2C" w:rsidP="00044B2C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D126C0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044B2C" w:rsidRPr="00FA354C" w:rsidRDefault="00044B2C" w:rsidP="00044B2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44B2C" w:rsidRPr="00AE00D9" w:rsidRDefault="00044B2C" w:rsidP="00044B2C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044B2C" w:rsidRPr="00960E4C" w:rsidRDefault="00044B2C" w:rsidP="00044B2C">
      <w:pPr>
        <w:rPr>
          <w:rFonts w:ascii="Arial" w:hAnsi="Arial" w:cs="Arial"/>
          <w:sz w:val="16"/>
          <w:szCs w:val="16"/>
        </w:rPr>
      </w:pP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lastRenderedPageBreak/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>Генерального плана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Генеральном плане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>Генеральный план и Правила землепользования и застройки 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044B2C" w:rsidRPr="00AE00D9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044B2C" w:rsidRPr="006A73F5" w:rsidRDefault="00044B2C" w:rsidP="00044B2C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044B2C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Орловского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044B2C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территории Орловского сельского поселения;</w:t>
      </w:r>
    </w:p>
    <w:p w:rsidR="00044B2C" w:rsidRPr="00D07F6F" w:rsidRDefault="00044B2C" w:rsidP="00044B2C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07F6F">
        <w:rPr>
          <w:rFonts w:ascii="Arial" w:hAnsi="Arial" w:cs="Arial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Орловского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EB1CB9" w:rsidRDefault="00EB1CB9"/>
    <w:sectPr w:rsidR="00EB1CB9" w:rsidSect="003F0615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CD" w:rsidRDefault="00AE66CD">
      <w:r>
        <w:separator/>
      </w:r>
    </w:p>
  </w:endnote>
  <w:endnote w:type="continuationSeparator" w:id="1">
    <w:p w:rsidR="00AE66CD" w:rsidRDefault="00AE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5" w:rsidRDefault="004223C4" w:rsidP="002477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74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FC0">
      <w:rPr>
        <w:rStyle w:val="a6"/>
        <w:noProof/>
      </w:rPr>
      <w:t>7</w:t>
    </w:r>
    <w:r>
      <w:rPr>
        <w:rStyle w:val="a6"/>
      </w:rPr>
      <w:fldChar w:fldCharType="end"/>
    </w:r>
  </w:p>
  <w:p w:rsidR="003F0615" w:rsidRDefault="00AE66CD" w:rsidP="002477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CD" w:rsidRDefault="00AE66CD">
      <w:r>
        <w:separator/>
      </w:r>
    </w:p>
  </w:footnote>
  <w:footnote w:type="continuationSeparator" w:id="1">
    <w:p w:rsidR="00AE66CD" w:rsidRDefault="00AE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E7C41"/>
    <w:multiLevelType w:val="hybridMultilevel"/>
    <w:tmpl w:val="30D0E23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5">
    <w:nsid w:val="7A2D70A2"/>
    <w:multiLevelType w:val="multilevel"/>
    <w:tmpl w:val="7C82E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C4"/>
    <w:rsid w:val="00044B2C"/>
    <w:rsid w:val="004223C4"/>
    <w:rsid w:val="00643593"/>
    <w:rsid w:val="009774B7"/>
    <w:rsid w:val="00AE66CD"/>
    <w:rsid w:val="00B56AC4"/>
    <w:rsid w:val="00C86741"/>
    <w:rsid w:val="00D126C0"/>
    <w:rsid w:val="00D50FC0"/>
    <w:rsid w:val="00EB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044B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044B2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044B2C"/>
    <w:rPr>
      <w:rFonts w:cs="Times New Roman"/>
      <w:color w:val="0000FF"/>
      <w:u w:val="single"/>
    </w:rPr>
  </w:style>
  <w:style w:type="paragraph" w:customStyle="1" w:styleId="Default">
    <w:name w:val="Default"/>
    <w:rsid w:val="00044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44B2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44B2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44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4B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4B2C"/>
    <w:rPr>
      <w:rFonts w:cs="Times New Roman"/>
    </w:rPr>
  </w:style>
  <w:style w:type="paragraph" w:customStyle="1" w:styleId="12">
    <w:name w:val="Обычный1"/>
    <w:rsid w:val="0004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4B2C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rsid w:val="00044B2C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04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044B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044B2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044B2C"/>
    <w:rPr>
      <w:rFonts w:cs="Times New Roman"/>
      <w:color w:val="0000FF"/>
      <w:u w:val="single"/>
    </w:rPr>
  </w:style>
  <w:style w:type="paragraph" w:customStyle="1" w:styleId="Default">
    <w:name w:val="Default"/>
    <w:rsid w:val="00044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44B2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44B2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44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4B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4B2C"/>
    <w:rPr>
      <w:rFonts w:cs="Times New Roman"/>
    </w:rPr>
  </w:style>
  <w:style w:type="paragraph" w:customStyle="1" w:styleId="12">
    <w:name w:val="Обычный1"/>
    <w:rsid w:val="0004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4B2C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rsid w:val="00044B2C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04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2272</Words>
  <Characters>12955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7</cp:revision>
  <cp:lastPrinted>2015-06-18T02:02:00Z</cp:lastPrinted>
  <dcterms:created xsi:type="dcterms:W3CDTF">2015-06-05T10:56:00Z</dcterms:created>
  <dcterms:modified xsi:type="dcterms:W3CDTF">2015-06-18T02:03:00Z</dcterms:modified>
</cp:coreProperties>
</file>