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B" w:rsidRPr="009C6D5B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highlight w:val="yellow"/>
        </w:rPr>
      </w:pPr>
      <w:r w:rsidRPr="00E90A1B">
        <w:rPr>
          <w:rFonts w:ascii="Arial" w:hAnsi="Arial" w:cs="Arial"/>
          <w:noProof/>
          <w:sz w:val="20"/>
          <w:highlight w:val="yellow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5B" w:rsidRPr="00244050" w:rsidRDefault="009C6D5B" w:rsidP="009C6D5B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44050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9C6D5B" w:rsidRPr="008E6CD3" w:rsidRDefault="009C6D5B" w:rsidP="009C6D5B">
      <w:pPr>
        <w:widowControl w:val="0"/>
        <w:spacing w:before="120" w:after="120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8E6CD3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C6D5B" w:rsidRPr="008E6CD3" w:rsidTr="006C7E47">
        <w:tc>
          <w:tcPr>
            <w:tcW w:w="3697" w:type="dxa"/>
          </w:tcPr>
          <w:p w:rsidR="009C6D5B" w:rsidRPr="008E6CD3" w:rsidRDefault="00B62CB4" w:rsidP="001458A6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06</w:t>
            </w:r>
            <w:r w:rsidR="00A61B9A" w:rsidRPr="008E6CD3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F4276B">
              <w:rPr>
                <w:rFonts w:ascii="Arial" w:hAnsi="Arial" w:cs="Arial"/>
                <w:bCs/>
                <w:sz w:val="24"/>
                <w:szCs w:val="24"/>
              </w:rPr>
              <w:t>ок</w:t>
            </w:r>
            <w:r w:rsidR="001458A6" w:rsidRPr="008E6CD3">
              <w:rPr>
                <w:rFonts w:ascii="Arial" w:hAnsi="Arial" w:cs="Arial"/>
                <w:bCs/>
                <w:sz w:val="24"/>
                <w:szCs w:val="24"/>
              </w:rPr>
              <w:t>тября</w:t>
            </w:r>
            <w:r w:rsidR="00776B0F" w:rsidRPr="008E6C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6D5B" w:rsidRPr="008E6CD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4A3" w:rsidRPr="008E6CD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D5B" w:rsidRPr="008E6CD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C6D5B" w:rsidRPr="008E6CD3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E6CD3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8E6CD3">
              <w:rPr>
                <w:rFonts w:ascii="Arial" w:hAnsi="Arial" w:cs="Arial"/>
                <w:sz w:val="20"/>
              </w:rPr>
              <w:t>Белый Яр</w:t>
            </w:r>
          </w:p>
          <w:p w:rsidR="009C6D5B" w:rsidRPr="008E6CD3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E6CD3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9C6D5B" w:rsidRPr="008E6CD3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6CD3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E6CD3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9C6D5B" w:rsidRPr="00B62CB4" w:rsidRDefault="009C6D5B" w:rsidP="001458A6">
            <w:pPr>
              <w:widowControl w:val="0"/>
              <w:ind w:right="57" w:firstLine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E6CD3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117A8" w:rsidRPr="008E6C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2CB4">
              <w:rPr>
                <w:rFonts w:ascii="Arial" w:hAnsi="Arial" w:cs="Arial"/>
                <w:bCs/>
                <w:sz w:val="24"/>
                <w:szCs w:val="24"/>
                <w:lang w:val="en-US"/>
              </w:rPr>
              <w:t>972</w:t>
            </w:r>
          </w:p>
        </w:tc>
      </w:tr>
    </w:tbl>
    <w:p w:rsidR="00806142" w:rsidRPr="008E6CD3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8E6CD3" w:rsidRDefault="001458A6" w:rsidP="00953D8F">
      <w:pPr>
        <w:pStyle w:val="ConsPlusTitle"/>
        <w:ind w:right="4961"/>
        <w:jc w:val="both"/>
        <w:rPr>
          <w:rFonts w:ascii="Arial" w:hAnsi="Arial" w:cs="Arial"/>
          <w:sz w:val="24"/>
          <w:szCs w:val="24"/>
          <w:lang w:eastAsia="en-US"/>
        </w:rPr>
      </w:pPr>
      <w:r w:rsidRPr="008E6CD3"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Администрации Верхнекетского района от 24.04.2020 № 402 «</w:t>
      </w:r>
      <w:r w:rsidR="00CD6E39" w:rsidRPr="008E6CD3">
        <w:rPr>
          <w:rFonts w:ascii="Arial" w:hAnsi="Arial" w:cs="Arial"/>
          <w:sz w:val="24"/>
          <w:szCs w:val="24"/>
          <w:lang w:eastAsia="en-US"/>
        </w:rPr>
        <w:t>Об утверждении Плана мероприятий («дорожной карты») по содействию развитию конкуренции на территории Верхнекетского района Томской области</w:t>
      </w:r>
      <w:r w:rsidR="00F85A02" w:rsidRPr="008E6CD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516ED" w:rsidRPr="008E6CD3">
        <w:rPr>
          <w:rFonts w:ascii="Arial" w:hAnsi="Arial" w:cs="Arial"/>
          <w:sz w:val="24"/>
          <w:szCs w:val="24"/>
          <w:lang w:eastAsia="en-US"/>
        </w:rPr>
        <w:t xml:space="preserve">до </w:t>
      </w:r>
      <w:r w:rsidR="00D930C0" w:rsidRPr="008E6CD3">
        <w:rPr>
          <w:rFonts w:ascii="Arial" w:hAnsi="Arial" w:cs="Arial"/>
          <w:sz w:val="24"/>
          <w:szCs w:val="24"/>
          <w:lang w:eastAsia="en-US"/>
        </w:rPr>
        <w:t>2022 год</w:t>
      </w:r>
      <w:r w:rsidR="002516ED" w:rsidRPr="008E6CD3">
        <w:rPr>
          <w:rFonts w:ascii="Arial" w:hAnsi="Arial" w:cs="Arial"/>
          <w:sz w:val="24"/>
          <w:szCs w:val="24"/>
          <w:lang w:eastAsia="en-US"/>
        </w:rPr>
        <w:t>а</w:t>
      </w:r>
      <w:r w:rsidRPr="008E6CD3">
        <w:rPr>
          <w:rFonts w:ascii="Arial" w:hAnsi="Arial" w:cs="Arial"/>
          <w:sz w:val="24"/>
          <w:szCs w:val="24"/>
          <w:lang w:eastAsia="en-US"/>
        </w:rPr>
        <w:t>»</w:t>
      </w:r>
    </w:p>
    <w:p w:rsidR="00806142" w:rsidRPr="008E6CD3" w:rsidRDefault="00806142" w:rsidP="00DB4B0E">
      <w:pPr>
        <w:pStyle w:val="ConsPlusTitle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B4B0E" w:rsidRPr="00571A22" w:rsidRDefault="00F85A02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B44A28" w:rsidRPr="00571A22">
        <w:rPr>
          <w:rFonts w:ascii="Arial" w:hAnsi="Arial" w:cs="Arial"/>
          <w:sz w:val="24"/>
          <w:szCs w:val="24"/>
          <w:lang w:eastAsia="en-US"/>
        </w:rPr>
        <w:t xml:space="preserve">целях </w:t>
      </w:r>
      <w:r w:rsidR="00B224A9">
        <w:rPr>
          <w:rFonts w:ascii="Arial" w:hAnsi="Arial" w:cs="Arial"/>
          <w:sz w:val="24"/>
          <w:szCs w:val="24"/>
          <w:lang w:eastAsia="en-US"/>
        </w:rPr>
        <w:t>совершенствования</w:t>
      </w:r>
      <w:r w:rsidR="00B44A28" w:rsidRPr="00571A2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E52C2" w:rsidRPr="00571A22">
        <w:rPr>
          <w:rFonts w:ascii="Arial" w:hAnsi="Arial" w:cs="Arial"/>
          <w:sz w:val="24"/>
          <w:szCs w:val="24"/>
          <w:lang w:eastAsia="en-US"/>
        </w:rPr>
        <w:t xml:space="preserve">муниципального </w:t>
      </w:r>
      <w:r w:rsidR="00B44A28" w:rsidRPr="00571A22">
        <w:rPr>
          <w:rFonts w:ascii="Arial" w:hAnsi="Arial" w:cs="Arial"/>
          <w:sz w:val="24"/>
          <w:szCs w:val="24"/>
          <w:lang w:eastAsia="en-US"/>
        </w:rPr>
        <w:t>нормативного правового акта</w:t>
      </w:r>
      <w:r w:rsidRPr="00571A22">
        <w:rPr>
          <w:rFonts w:ascii="Arial" w:hAnsi="Arial" w:cs="Arial"/>
          <w:sz w:val="24"/>
          <w:szCs w:val="24"/>
          <w:lang w:eastAsia="en-US"/>
        </w:rPr>
        <w:t xml:space="preserve">, </w:t>
      </w:r>
    </w:p>
    <w:p w:rsidR="001F5E31" w:rsidRPr="00571A22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571A22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571A22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571A22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2274BF" w:rsidRPr="00571A22" w:rsidRDefault="001458A6" w:rsidP="001458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71A22">
        <w:rPr>
          <w:rFonts w:ascii="Arial" w:hAnsi="Arial" w:cs="Arial"/>
          <w:sz w:val="24"/>
          <w:szCs w:val="24"/>
        </w:rPr>
        <w:t xml:space="preserve">Внести в </w:t>
      </w:r>
      <w:r w:rsidRPr="00571A22">
        <w:rPr>
          <w:rFonts w:ascii="Arial" w:hAnsi="Arial" w:cs="Arial"/>
          <w:sz w:val="24"/>
          <w:szCs w:val="24"/>
          <w:lang w:eastAsia="en-US"/>
        </w:rPr>
        <w:t xml:space="preserve">постановление Администрации Верхнекетского района от 24.04.2020 № 402 «Об утверждении Плана мероприятий («дорожной карты») по содействию развитию конкуренции на территории Верхнекетского района Томской области до 2022 года» изменения, </w:t>
      </w:r>
      <w:r w:rsidR="00EE52C2" w:rsidRPr="00571A22">
        <w:rPr>
          <w:rFonts w:ascii="Arial" w:hAnsi="Arial" w:cs="Arial"/>
          <w:sz w:val="24"/>
          <w:szCs w:val="24"/>
          <w:lang w:eastAsia="en-US"/>
        </w:rPr>
        <w:t xml:space="preserve">изложив </w:t>
      </w:r>
      <w:r w:rsidR="00EE52C2" w:rsidRPr="00571A22">
        <w:rPr>
          <w:rFonts w:ascii="Arial" w:hAnsi="Arial" w:cs="Arial"/>
          <w:sz w:val="24"/>
          <w:szCs w:val="24"/>
        </w:rPr>
        <w:t xml:space="preserve">План мероприятий («дорожной карты») по содействию развитию конкуренции на территории Верхнекетского района Томской области до 2022 года, утвержденный постановлением </w:t>
      </w:r>
      <w:r w:rsidRPr="00571A22">
        <w:rPr>
          <w:rFonts w:ascii="Arial" w:hAnsi="Arial" w:cs="Arial"/>
          <w:sz w:val="24"/>
          <w:szCs w:val="24"/>
          <w:lang w:eastAsia="en-US"/>
        </w:rPr>
        <w:t>в редакции согласно приложению к настоящему постановлению.</w:t>
      </w:r>
      <w:r w:rsidRPr="00571A2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152C2" w:rsidRPr="008E6CD3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</w:t>
      </w:r>
      <w:r w:rsidRPr="008E6CD3">
        <w:rPr>
          <w:rFonts w:ascii="Arial" w:hAnsi="Arial" w:cs="Arial"/>
          <w:sz w:val="24"/>
          <w:szCs w:val="24"/>
          <w:lang w:eastAsia="en-US"/>
        </w:rPr>
        <w:t xml:space="preserve"> силу со дня официального опубликования в информационном вестнике Верхнекетского района «Территория».</w:t>
      </w:r>
    </w:p>
    <w:p w:rsidR="008152C2" w:rsidRPr="008E6CD3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6CD3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Pr="008E6CD3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на официальном сайте Администрации Верхнекетского района.</w:t>
      </w:r>
    </w:p>
    <w:p w:rsidR="008152C2" w:rsidRPr="00DE6B67" w:rsidRDefault="008152C2" w:rsidP="008152C2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94352" w:rsidRPr="00DE6B67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26BC" w:rsidRPr="00DE6B67" w:rsidRDefault="004226BC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E597C" w:rsidRPr="00DE6B67" w:rsidRDefault="001C1C8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597C" w:rsidRPr="00DE6B6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3E597C" w:rsidRPr="00DE6B67">
        <w:rPr>
          <w:rFonts w:ascii="Arial" w:hAnsi="Arial" w:cs="Arial"/>
          <w:sz w:val="24"/>
          <w:szCs w:val="24"/>
        </w:rPr>
        <w:t xml:space="preserve"> Верхнекетского района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</w:t>
      </w:r>
      <w:r w:rsidR="00D930C0" w:rsidRPr="00DE6B67">
        <w:rPr>
          <w:rFonts w:ascii="Arial" w:hAnsi="Arial" w:cs="Arial"/>
          <w:sz w:val="24"/>
          <w:szCs w:val="24"/>
        </w:rPr>
        <w:t xml:space="preserve"> 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       </w:t>
      </w:r>
      <w:r w:rsidR="00D930C0" w:rsidRPr="00DE6B6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D930C0" w:rsidRPr="00DE6B67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4226BC" w:rsidRPr="00DE6B67" w:rsidRDefault="004226B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3E597C" w:rsidRPr="00DE6B67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3E597C" w:rsidRPr="00DE6B67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DE6B67">
        <w:rPr>
          <w:rFonts w:ascii="Arial" w:hAnsi="Arial" w:cs="Arial"/>
          <w:sz w:val="20"/>
        </w:rPr>
        <w:t xml:space="preserve">Н.А. </w:t>
      </w:r>
      <w:proofErr w:type="spellStart"/>
      <w:r w:rsidR="00194352" w:rsidRPr="00DE6B67">
        <w:rPr>
          <w:rFonts w:ascii="Arial" w:hAnsi="Arial" w:cs="Arial"/>
          <w:sz w:val="20"/>
        </w:rPr>
        <w:t>Мискичекова</w:t>
      </w:r>
      <w:proofErr w:type="spellEnd"/>
    </w:p>
    <w:p w:rsidR="003E597C" w:rsidRPr="00244050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DE6B67">
        <w:rPr>
          <w:rFonts w:ascii="Arial" w:hAnsi="Arial" w:cs="Arial"/>
          <w:sz w:val="20"/>
        </w:rPr>
        <w:t>(838258)22672</w:t>
      </w:r>
    </w:p>
    <w:p w:rsidR="00D94AA3" w:rsidRPr="00244050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244050" w:rsidRDefault="00D94AA3">
      <w:pPr>
        <w:ind w:firstLine="0"/>
      </w:pPr>
    </w:p>
    <w:p w:rsidR="0037181A" w:rsidRPr="00244050" w:rsidRDefault="0037181A">
      <w:pPr>
        <w:ind w:firstLine="0"/>
      </w:pPr>
    </w:p>
    <w:p w:rsidR="0037181A" w:rsidRDefault="0037181A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Pr="00244050" w:rsidRDefault="00B91BFE">
      <w:pPr>
        <w:ind w:firstLine="0"/>
      </w:pPr>
    </w:p>
    <w:p w:rsidR="0037181A" w:rsidRDefault="00B14EE2">
      <w:pPr>
        <w:ind w:firstLine="0"/>
      </w:pPr>
      <w:r>
        <w:t>________________________________________________________________________</w:t>
      </w:r>
    </w:p>
    <w:p w:rsidR="00B14EE2" w:rsidRPr="005B6E14" w:rsidRDefault="00B14EE2">
      <w:pPr>
        <w:ind w:firstLine="0"/>
        <w:rPr>
          <w:rFonts w:ascii="Arial" w:hAnsi="Arial" w:cs="Arial"/>
          <w:color w:val="FF0000"/>
          <w:sz w:val="20"/>
        </w:rPr>
      </w:pPr>
      <w:r w:rsidRPr="00CF0D0C">
        <w:rPr>
          <w:rFonts w:ascii="Arial" w:hAnsi="Arial" w:cs="Arial"/>
          <w:sz w:val="20"/>
        </w:rPr>
        <w:t>Дело – 2,</w:t>
      </w:r>
      <w:r w:rsidR="00CF0D0C">
        <w:rPr>
          <w:rFonts w:ascii="Arial" w:hAnsi="Arial" w:cs="Arial"/>
          <w:sz w:val="20"/>
        </w:rPr>
        <w:t xml:space="preserve"> Альсевич-1,</w:t>
      </w:r>
      <w:r w:rsidRPr="00CF0D0C">
        <w:rPr>
          <w:rFonts w:ascii="Arial" w:hAnsi="Arial" w:cs="Arial"/>
          <w:sz w:val="20"/>
        </w:rPr>
        <w:t xml:space="preserve"> ОСЭР – 1, </w:t>
      </w:r>
      <w:r w:rsidR="00CF0D0C" w:rsidRPr="00CF0D0C">
        <w:rPr>
          <w:rFonts w:ascii="Arial" w:hAnsi="Arial" w:cs="Arial"/>
          <w:sz w:val="20"/>
        </w:rPr>
        <w:t>УРМИЗ-1, ИЦ</w:t>
      </w:r>
      <w:r w:rsidR="00380093">
        <w:rPr>
          <w:rFonts w:ascii="Arial" w:hAnsi="Arial" w:cs="Arial"/>
          <w:sz w:val="20"/>
        </w:rPr>
        <w:t>-1, ОЖКХ-1, ОПТиС-1, Админ</w:t>
      </w:r>
      <w:proofErr w:type="gramStart"/>
      <w:r w:rsidR="00380093">
        <w:rPr>
          <w:rFonts w:ascii="Arial" w:hAnsi="Arial" w:cs="Arial"/>
          <w:sz w:val="20"/>
        </w:rPr>
        <w:t>.Б</w:t>
      </w:r>
      <w:proofErr w:type="gramEnd"/>
      <w:r w:rsidR="00380093">
        <w:rPr>
          <w:rFonts w:ascii="Arial" w:hAnsi="Arial" w:cs="Arial"/>
          <w:sz w:val="20"/>
        </w:rPr>
        <w:t>ГП-1</w:t>
      </w:r>
      <w:r w:rsidR="00CF0D0C" w:rsidRPr="00CF0D0C">
        <w:rPr>
          <w:rFonts w:ascii="Arial" w:hAnsi="Arial" w:cs="Arial"/>
          <w:sz w:val="20"/>
        </w:rPr>
        <w:t>.</w:t>
      </w:r>
    </w:p>
    <w:p w:rsidR="0037181A" w:rsidRPr="005B6E14" w:rsidRDefault="0037181A">
      <w:pPr>
        <w:ind w:firstLine="0"/>
        <w:rPr>
          <w:color w:val="FF0000"/>
        </w:rPr>
      </w:pPr>
    </w:p>
    <w:p w:rsidR="0037181A" w:rsidRPr="00244050" w:rsidRDefault="0037181A">
      <w:pPr>
        <w:ind w:firstLine="0"/>
      </w:pPr>
    </w:p>
    <w:p w:rsidR="0037181A" w:rsidRDefault="0037181A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</w:pPr>
    </w:p>
    <w:p w:rsidR="00571A22" w:rsidRDefault="00571A22">
      <w:pPr>
        <w:ind w:firstLine="0"/>
        <w:sectPr w:rsidR="00571A22" w:rsidSect="003559D1"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571A22" w:rsidRPr="00571A22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lastRenderedPageBreak/>
        <w:t>Утверждён</w:t>
      </w:r>
    </w:p>
    <w:p w:rsidR="00571A22" w:rsidRPr="00571A22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постановлением</w:t>
      </w:r>
    </w:p>
    <w:p w:rsidR="00571A22" w:rsidRPr="00571A22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Администрации Верхнекетского района</w:t>
      </w:r>
    </w:p>
    <w:p w:rsidR="00571A22" w:rsidRPr="00B62CB4" w:rsidRDefault="00B62CB4" w:rsidP="00571A22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val="en-US" w:eastAsia="en-US"/>
        </w:rPr>
        <w:t>06</w:t>
      </w:r>
      <w:r w:rsidR="00F4276B">
        <w:rPr>
          <w:rFonts w:ascii="Arial" w:hAnsi="Arial" w:cs="Arial"/>
          <w:sz w:val="24"/>
          <w:szCs w:val="24"/>
          <w:lang w:eastAsia="en-US"/>
        </w:rPr>
        <w:t>» ок</w:t>
      </w:r>
      <w:r>
        <w:rPr>
          <w:rFonts w:ascii="Arial" w:hAnsi="Arial" w:cs="Arial"/>
          <w:sz w:val="24"/>
          <w:szCs w:val="24"/>
          <w:lang w:eastAsia="en-US"/>
        </w:rPr>
        <w:t>тября 2020 года №</w:t>
      </w:r>
      <w:r>
        <w:rPr>
          <w:rFonts w:ascii="Arial" w:hAnsi="Arial" w:cs="Arial"/>
          <w:sz w:val="24"/>
          <w:szCs w:val="24"/>
          <w:lang w:val="en-US" w:eastAsia="en-US"/>
        </w:rPr>
        <w:t>972</w:t>
      </w:r>
    </w:p>
    <w:p w:rsidR="00571A22" w:rsidRPr="00571A22" w:rsidRDefault="00571A22" w:rsidP="00571A22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571A22" w:rsidRPr="00571A22" w:rsidRDefault="00571A22" w:rsidP="00571A22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План мероприятий («дорожной карты») по содействию развитию конкуренции на территории Верхнекетского района Томской области до 2022 года.</w:t>
      </w:r>
    </w:p>
    <w:p w:rsidR="00571A22" w:rsidRPr="00571A22" w:rsidRDefault="00571A22" w:rsidP="00571A22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571A22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b/>
          <w:color w:val="C00000"/>
          <w:sz w:val="36"/>
          <w:szCs w:val="36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I. Перечень товарных рынков на территории муниципального образования Верхнекетский район Томской области для  содействия развитию конкуренции и значений ключевых показателей</w:t>
      </w:r>
      <w:bookmarkStart w:id="0" w:name="_GoBack"/>
      <w:bookmarkEnd w:id="0"/>
    </w:p>
    <w:tbl>
      <w:tblPr>
        <w:tblStyle w:val="af5"/>
        <w:tblW w:w="14897" w:type="dxa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6292"/>
        <w:gridCol w:w="1400"/>
        <w:gridCol w:w="1360"/>
        <w:gridCol w:w="1306"/>
        <w:gridCol w:w="1316"/>
      </w:tblGrid>
      <w:tr w:rsidR="00571A22" w:rsidRPr="00571A22" w:rsidTr="00616A0E">
        <w:trPr>
          <w:trHeight w:val="164"/>
        </w:trPr>
        <w:tc>
          <w:tcPr>
            <w:tcW w:w="675" w:type="dxa"/>
            <w:vMerge w:val="restart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6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571A22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571A22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2548" w:type="dxa"/>
            <w:vMerge w:val="restart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Наименование рынка</w:t>
            </w:r>
          </w:p>
        </w:tc>
        <w:tc>
          <w:tcPr>
            <w:tcW w:w="6292" w:type="dxa"/>
            <w:vMerge w:val="restart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Обоснование включения</w:t>
            </w:r>
          </w:p>
        </w:tc>
        <w:tc>
          <w:tcPr>
            <w:tcW w:w="5382" w:type="dxa"/>
            <w:gridSpan w:val="4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Ключевой показатель</w:t>
            </w:r>
          </w:p>
        </w:tc>
      </w:tr>
      <w:tr w:rsidR="00571A22" w:rsidRPr="00571A22" w:rsidTr="00616A0E">
        <w:trPr>
          <w:trHeight w:val="312"/>
        </w:trPr>
        <w:tc>
          <w:tcPr>
            <w:tcW w:w="675" w:type="dxa"/>
            <w:vMerge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48" w:type="dxa"/>
            <w:vMerge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292" w:type="dxa"/>
            <w:vMerge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Факт 01.01.2019</w:t>
            </w:r>
          </w:p>
        </w:tc>
        <w:tc>
          <w:tcPr>
            <w:tcW w:w="1360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5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Факт 01.01.2020</w:t>
            </w:r>
          </w:p>
        </w:tc>
        <w:tc>
          <w:tcPr>
            <w:tcW w:w="1306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1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План 01.01.2021</w:t>
            </w:r>
          </w:p>
        </w:tc>
        <w:tc>
          <w:tcPr>
            <w:tcW w:w="1316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10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План 01.01.2022</w:t>
            </w:r>
          </w:p>
        </w:tc>
      </w:tr>
      <w:tr w:rsidR="00571A22" w:rsidRPr="00571A22" w:rsidTr="00616A0E">
        <w:trPr>
          <w:trHeight w:val="557"/>
        </w:trPr>
        <w:tc>
          <w:tcPr>
            <w:tcW w:w="675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A2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8" w:type="dxa"/>
            <w:vAlign w:val="center"/>
          </w:tcPr>
          <w:p w:rsidR="00571A22" w:rsidRPr="00571A22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Рынок жилищного строительства</w:t>
            </w:r>
          </w:p>
        </w:tc>
        <w:tc>
          <w:tcPr>
            <w:tcW w:w="6292" w:type="dxa"/>
            <w:vAlign w:val="center"/>
          </w:tcPr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За 2018 год на территории Верхнекетского района введено в эксплуатацию 24 индивидуальных жилых дома общей площадью 2329 кв. м. В этот же год застройщиком ООО «Рассвет» введен в эксплуатацию жилой дом с 10 квартирами общей площадью 338 </w:t>
            </w:r>
            <w:proofErr w:type="spellStart"/>
            <w:r w:rsidRPr="00571A22"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 w:rsidRPr="00571A22">
              <w:rPr>
                <w:rFonts w:ascii="Arial" w:hAnsi="Arial" w:cs="Arial"/>
                <w:sz w:val="24"/>
                <w:lang w:eastAsia="en-US"/>
              </w:rPr>
              <w:t>. Темп роста к уровню 2017 года составил 110,2%.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За 2019 год введено в эксплуатацию 32 </w:t>
            </w:r>
            <w:proofErr w:type="gramStart"/>
            <w:r w:rsidRPr="00571A22">
              <w:rPr>
                <w:rFonts w:ascii="Arial" w:hAnsi="Arial" w:cs="Arial"/>
                <w:sz w:val="24"/>
                <w:lang w:eastAsia="en-US"/>
              </w:rPr>
              <w:t>индивидуальных</w:t>
            </w:r>
            <w:proofErr w:type="gramEnd"/>
            <w:r w:rsidRPr="00571A22">
              <w:rPr>
                <w:rFonts w:ascii="Arial" w:hAnsi="Arial" w:cs="Arial"/>
                <w:sz w:val="24"/>
                <w:lang w:eastAsia="en-US"/>
              </w:rPr>
              <w:t xml:space="preserve">  жилых дома общей площадью 3073 </w:t>
            </w:r>
            <w:proofErr w:type="spellStart"/>
            <w:r w:rsidRPr="00571A22">
              <w:rPr>
                <w:rFonts w:ascii="Arial" w:hAnsi="Arial" w:cs="Arial"/>
                <w:sz w:val="24"/>
                <w:lang w:eastAsia="en-US"/>
              </w:rPr>
              <w:t>кв.м</w:t>
            </w:r>
            <w:proofErr w:type="spellEnd"/>
            <w:r w:rsidRPr="00571A22">
              <w:rPr>
                <w:rFonts w:ascii="Arial" w:hAnsi="Arial" w:cs="Arial"/>
                <w:sz w:val="24"/>
                <w:lang w:eastAsia="en-US"/>
              </w:rPr>
              <w:t>. (115,2% к соответствующему периоду прошлого года).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Основными перспективными направлениями развития рынка являются:</w:t>
            </w:r>
          </w:p>
          <w:p w:rsidR="00571A22" w:rsidRPr="00571A22" w:rsidRDefault="00571A22" w:rsidP="00571A22">
            <w:pPr>
              <w:shd w:val="clear" w:color="auto" w:fill="FFFFFF"/>
              <w:tabs>
                <w:tab w:val="left" w:pos="216"/>
              </w:tabs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-   упрощение процедуры оформления необходимой для застройщиков документации, уменьшение совокупного времени прохождения всех процедур;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- применение единых нормативно-технических требований в строительстве, находящихся в открытом доступе;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- обеспечение прозрачности взаимодействия хозяйствующих субъектов и органов местного самоуправления, устранение административных барьеров.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Ключевой показатель: общая площадь жилых помещений, приходящихся в среднем на одного жителя (на конец года), кв. метров</w:t>
            </w:r>
          </w:p>
        </w:tc>
        <w:tc>
          <w:tcPr>
            <w:tcW w:w="1400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23,8</w:t>
            </w:r>
          </w:p>
        </w:tc>
        <w:tc>
          <w:tcPr>
            <w:tcW w:w="1360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-2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06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16" w:type="dxa"/>
            <w:vAlign w:val="center"/>
          </w:tcPr>
          <w:p w:rsidR="00571A22" w:rsidRPr="00571A22" w:rsidRDefault="00571A22" w:rsidP="00571A22">
            <w:pPr>
              <w:spacing w:after="194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24,1</w:t>
            </w:r>
          </w:p>
        </w:tc>
      </w:tr>
      <w:tr w:rsidR="00571A22" w:rsidRPr="00571A22" w:rsidTr="00616A0E">
        <w:trPr>
          <w:trHeight w:val="432"/>
        </w:trPr>
        <w:tc>
          <w:tcPr>
            <w:tcW w:w="675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548" w:type="dxa"/>
          </w:tcPr>
          <w:p w:rsidR="00571A22" w:rsidRPr="00571A22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6292" w:type="dxa"/>
          </w:tcPr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Согласно Единому реестру субъектов малого и среднего предпринимательства Федеральной налоговой службы в Верхнекетском районе Томской области по виду деятельности "45.20. Техническое обслуживание и ремонт автотранспортных средств" действует </w:t>
            </w:r>
            <w:r w:rsidRPr="00571A22">
              <w:rPr>
                <w:rFonts w:ascii="Arial" w:hAnsi="Arial" w:cs="Arial"/>
                <w:color w:val="000000" w:themeColor="text1"/>
                <w:sz w:val="24"/>
                <w:lang w:eastAsia="en-US"/>
              </w:rPr>
              <w:t xml:space="preserve">9 </w:t>
            </w:r>
            <w:r w:rsidRPr="00571A22">
              <w:rPr>
                <w:rFonts w:ascii="Arial" w:hAnsi="Arial" w:cs="Arial"/>
                <w:sz w:val="24"/>
                <w:lang w:eastAsia="en-US"/>
              </w:rPr>
              <w:t>индивидуальных предпринимателей.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Доля организаций частной формы собственности в общем количестве хозяйствующих субъектов, осуществляющих деятельность на данном рынке, составляет 100%, что демонстрирует отсутствие предпосылок по монополистической деятельности на рынке оказания услуг по ремонту автотранспортных средств Верхнекетского района Томской области.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Основными факторами, сдерживающими развитие данного рынка, являются рост потребительских цен и снижение покупательской способности.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Основные направления развития рынка ремонта автотранспортных средств - увеличение уровня обеспеченности населения Верхнекетского района  Томской области отраслевыми предприятиями, а также повышение качества и уровня обслуживания населения.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количество индивидуальных предпринимателей, осуществляющих деятельность по ремонту автотранспортных средств, ед.</w:t>
            </w:r>
          </w:p>
        </w:tc>
        <w:tc>
          <w:tcPr>
            <w:tcW w:w="140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6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0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</w:tr>
      <w:tr w:rsidR="00571A22" w:rsidRPr="00571A22" w:rsidTr="00616A0E">
        <w:trPr>
          <w:trHeight w:val="432"/>
        </w:trPr>
        <w:tc>
          <w:tcPr>
            <w:tcW w:w="675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548" w:type="dxa"/>
          </w:tcPr>
          <w:p w:rsidR="00571A22" w:rsidRPr="00571A22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Рынок теплоснабжения (производства тепловой энергии)</w:t>
            </w:r>
          </w:p>
        </w:tc>
        <w:tc>
          <w:tcPr>
            <w:tcW w:w="6292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Тепловая энергия согласно статье 2 Федерального закона от 27 июля 2010 года N 190-ФЗ "О теплоснабжении"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Тепловая энергия поставляется в жилые и нежилые здания (сооружения) для обеспечения коммунальных (отопление, горячее водоснабжение) и технологических нужд потребителей. Передается тепловая энергия потребителям от источников тепловой энергии к тепло потребляющим установкам, технологически соединенным тепловыми </w:t>
            </w: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сетями. Основными источниками тепла являются котельные установки. В зависимости от вида теплоносителя тепловая энергия поставляется в паре и в горячей воде.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Основные проблемы на рынке теплоснабжения: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высокий износ тепловых сетей и оборудования;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В Верхнекетском районе Томской области большая часть тепловой энергии отпускается потребителям от теплоисточников, </w:t>
            </w:r>
            <w:proofErr w:type="gramStart"/>
            <w:r w:rsidRPr="00571A22">
              <w:rPr>
                <w:rFonts w:ascii="Arial" w:hAnsi="Arial" w:cs="Arial"/>
                <w:sz w:val="24"/>
                <w:lang w:eastAsia="en-US"/>
              </w:rPr>
              <w:t>эксплуатируемых</w:t>
            </w:r>
            <w:proofErr w:type="gramEnd"/>
            <w:r w:rsidRPr="00571A22">
              <w:rPr>
                <w:rFonts w:ascii="Arial" w:hAnsi="Arial" w:cs="Arial"/>
                <w:sz w:val="24"/>
                <w:lang w:eastAsia="en-US"/>
              </w:rPr>
              <w:t xml:space="preserve"> организациями муниципальной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Рынок теплоснабжения (производство тепловой энергии) на территории Верхнекетского района включает в себя 17 котельных, отапливающих население и объекты социальной сферы. 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Все котельные используют твердое топливо – уголь, древесную щепу и дрова. Эксплуатацию котельных на территории района осуществляют шесть муниципальных организаций и две организации частной формы собственности на условиях договоров аренды.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С 2021 года планируется переход на концессионные отношения с потенциальным концессионером по объектам ЖКХ районного центра.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0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8,3</w:t>
            </w:r>
          </w:p>
        </w:tc>
        <w:tc>
          <w:tcPr>
            <w:tcW w:w="136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0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1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86,9</w:t>
            </w:r>
          </w:p>
        </w:tc>
      </w:tr>
      <w:tr w:rsidR="00571A22" w:rsidRPr="00571A22" w:rsidTr="00616A0E">
        <w:trPr>
          <w:trHeight w:val="432"/>
        </w:trPr>
        <w:tc>
          <w:tcPr>
            <w:tcW w:w="675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548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Рынок выполнения работ по содержанию и текущему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ремонту общего имущества собственников помещений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в многоквартирном доме</w:t>
            </w:r>
          </w:p>
        </w:tc>
        <w:tc>
          <w:tcPr>
            <w:tcW w:w="6292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По состоянию на 01.01.2020 на территории Верхнекетского района Томской области расположено 72 многоквартирных дома (далее - МКД) без учета домов блокированной застройки.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Общая площадь жилых помещений в МКД составляла 49 тыс. кв. м.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По данным Федеральной налоговой службы в Верхнекетском районе Томской области на 29.01.2020 насчитывается 2 субъекта малого бизнеса, которые осуществляют деятельность в сфере управления недвижимым имуществом за вознаграждение или на договорной основе (ОКВЭД 68.32).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Основными проблемами на рынке являются: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несоответствие качества и стоимости услуг в сфере ЖКХ;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отсутствие единых стандартов управления МКД с учетом мнения собственников;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запущенное состояние мест общего пользования МКД по причинам невыполнения обязательств по текущему ремонту;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t xml:space="preserve">Ключевой показатель: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   </w:t>
            </w:r>
          </w:p>
        </w:tc>
        <w:tc>
          <w:tcPr>
            <w:tcW w:w="140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6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571A22" w:rsidRPr="00571A22" w:rsidTr="00616A0E">
        <w:trPr>
          <w:trHeight w:val="432"/>
        </w:trPr>
        <w:tc>
          <w:tcPr>
            <w:tcW w:w="675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48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автомобильным транспортом </w:t>
            </w:r>
            <w:proofErr w:type="gramStart"/>
            <w:r w:rsidRPr="00571A22">
              <w:rPr>
                <w:rFonts w:ascii="Arial" w:hAnsi="Arial" w:cs="Arial"/>
                <w:sz w:val="24"/>
                <w:lang w:eastAsia="en-US"/>
              </w:rPr>
              <w:t>по</w:t>
            </w:r>
            <w:proofErr w:type="gramEnd"/>
            <w:r w:rsidRPr="00571A22">
              <w:rPr>
                <w:rFonts w:ascii="Arial" w:hAnsi="Arial" w:cs="Arial"/>
                <w:sz w:val="24"/>
                <w:lang w:eastAsia="en-US"/>
              </w:rPr>
              <w:t xml:space="preserve"> муниципальным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маршрутам регулярных перевозок</w:t>
            </w:r>
          </w:p>
        </w:tc>
        <w:tc>
          <w:tcPr>
            <w:tcW w:w="6292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Транспортная инфраструктура является важной жизнеобеспечивающей системой, неразрывно связанной с нуждами населения, работой предприятий и организаций промышленности, топливно-энергетического комплекса, сельского хозяйства и социальной сферы, и относится к перечню социально значимых рынков услуг.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Доля транспорта частных перевозчиков на муниципальных маршрутах составляет 100% в общем объеме транспортных средств, ежедневно выходящих на линию.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Основными проблемами, препятствующими развитию конкуренции на рынке оказания услуг по </w:t>
            </w: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перевозке пассажиров автомобильным транспортом по муниципальным маршрутам регулярных перевозок, являются: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наличие административных барьеров, затрудняющих ведения бизнеса на рынке пассажирских перевозок;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отставание темпов развития транспортной инфраструктуры от темпов социально-экономического развития региона;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571A22" w:rsidRPr="00571A22" w:rsidRDefault="00571A22" w:rsidP="00571A22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0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100</w:t>
            </w:r>
          </w:p>
        </w:tc>
        <w:tc>
          <w:tcPr>
            <w:tcW w:w="136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571A22" w:rsidRPr="00571A22" w:rsidTr="00616A0E">
        <w:trPr>
          <w:trHeight w:val="432"/>
        </w:trPr>
        <w:tc>
          <w:tcPr>
            <w:tcW w:w="675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548" w:type="dxa"/>
          </w:tcPr>
          <w:p w:rsidR="00571A22" w:rsidRPr="00571A22" w:rsidRDefault="00571A22" w:rsidP="00571A22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6292" w:type="dxa"/>
          </w:tcPr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Включение рынка розничной торговли лекарственными препаратами, изделиями медицинского назначения и сопутствующими товарами в перечень рынков для развития конкуренции обусловлено необходимостью повышения физической и экономической доступности товаров. Аптечная организация, с одной стороны, - это предприятие торговли, несущее все платежи и нагрузку, как и любой торговый объект, а с другой - социальный объект со многими обязательствами по соблюдению ряда требований, в том числе лицензионных.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В Верхнекетском районе 6 действующих лицензий на фармацевтическую деятельность.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Количество объектов розничной торговли лекарственными препаратами,</w:t>
            </w:r>
            <w:r w:rsidRPr="00571A22">
              <w:rPr>
                <w:sz w:val="23"/>
                <w:szCs w:val="23"/>
                <w:lang w:eastAsia="en-US"/>
              </w:rPr>
              <w:t xml:space="preserve"> </w:t>
            </w:r>
            <w:r w:rsidRPr="00571A22">
              <w:rPr>
                <w:rFonts w:ascii="Arial" w:hAnsi="Arial" w:cs="Arial"/>
                <w:sz w:val="24"/>
                <w:lang w:eastAsia="en-US"/>
              </w:rPr>
              <w:t>изделиями медицинского назначения и сопутствующими товарами в Верхнекетском районе – 17, в том числе при фельдшерско-акушерских пунктах 7 киосков и 5 аптечных пунктов в поселках района.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 xml:space="preserve">Доля организаций частной формы собственности на рынке розничной торговли лекарственными препаратами, медицинскими изделиями и </w:t>
            </w: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сопутствующими товарами составляет 80%.</w:t>
            </w:r>
          </w:p>
          <w:p w:rsidR="00571A22" w:rsidRPr="00571A22" w:rsidRDefault="00571A22" w:rsidP="00571A22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на рынке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40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lastRenderedPageBreak/>
              <w:t>80</w:t>
            </w:r>
          </w:p>
        </w:tc>
        <w:tc>
          <w:tcPr>
            <w:tcW w:w="1360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0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80</w:t>
            </w:r>
          </w:p>
        </w:tc>
        <w:tc>
          <w:tcPr>
            <w:tcW w:w="1316" w:type="dxa"/>
          </w:tcPr>
          <w:p w:rsidR="00571A22" w:rsidRPr="00571A22" w:rsidRDefault="00571A22" w:rsidP="00571A22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lang w:eastAsia="en-US"/>
              </w:rPr>
              <w:t>83</w:t>
            </w:r>
          </w:p>
        </w:tc>
      </w:tr>
    </w:tbl>
    <w:p w:rsidR="00571A22" w:rsidRPr="00571A22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571A22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22" w:rsidRPr="00571A22" w:rsidRDefault="00571A22" w:rsidP="00571A22">
      <w:pPr>
        <w:spacing w:after="194" w:line="230" w:lineRule="exact"/>
        <w:ind w:right="50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71A22">
        <w:rPr>
          <w:rFonts w:ascii="Arial" w:hAnsi="Arial" w:cs="Arial"/>
          <w:sz w:val="24"/>
          <w:szCs w:val="24"/>
          <w:lang w:eastAsia="en-US"/>
        </w:rPr>
        <w:t>II. Мероприятия по содействию развитию конкуренции на  товарных рынках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2837"/>
        <w:gridCol w:w="2699"/>
        <w:gridCol w:w="2268"/>
        <w:gridCol w:w="3118"/>
      </w:tblGrid>
      <w:tr w:rsidR="00571A22" w:rsidRPr="00571A22" w:rsidTr="00616A0E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45" w:lineRule="exact"/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45" w:lineRule="exact"/>
              <w:ind w:right="3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50" w:lineRule="exact"/>
              <w:ind w:right="48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71A22" w:rsidRPr="00571A22" w:rsidTr="00616A0E">
        <w:trPr>
          <w:trHeight w:val="423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571A22" w:rsidRDefault="00571A22" w:rsidP="00571A22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571A22" w:rsidRPr="00571A22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Опубликование на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официально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 сайте Администрации Верхнекетского района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в информационно-телекоммуникационной сети "Интернет"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Информированность участников градостроительных отношений                                                                  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в информационно-телекоммуникационной сети "Интернет"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поселения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(по согласованию), Управление по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контроля </w:t>
            </w:r>
            <w:proofErr w:type="gramStart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включением информации о наличии инженерной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инфраструктуры в документацию о проведении аукциона по продаже</w:t>
            </w:r>
            <w:proofErr w:type="gramEnd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(на право аренды) земельных участков под строительство</w:t>
            </w: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Размещение сведений о технических условиях подключения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(технологического присоединения) объекта капитального строительства к сетям инженерно-технического обеспечения (электро-, тепло-, водоснабжения, водоотведения) в документации о проведен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ии ау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кциона по продаже (на право аренды) земельных участков под строительство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Сведения о планируемых к проведению аукционов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на право аренды земельных участков в целях жилищного строительства размещаются на официальном сайте Администрации Верхнекетского района, официальном сайте Белоярского городского поселения с указанием наличия технических условий для подключения к инженерным сетям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согласованию),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Опубликование на официальном сайте Администрации Верхнекетского района в информационно-телекоммуникационной сети "Интернет"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Наличие генеральных планов поселений и размещение их на официальных сайтах: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2021 год - 9;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2022год -9.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коммунальной инфраструктуры поселений и размещение их на официальных сайтах: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2020 год – 8;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2021 год – 8;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2022 год – 8.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Наличие программ комплексного развития транспортной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инфраструктуры сельских (городского</w:t>
            </w: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)п</w:t>
            </w:r>
            <w:proofErr w:type="gramEnd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социальной инфраструктуры сельских (городского) поселений и размещение их на официальном сайте  Администрации Верхнекетского района, на официальном сайте Белоярского городского поселения: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Администрации сельских (городского)  поселений Верхнекетского района (по согласованию),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  <w:proofErr w:type="gramEnd"/>
          </w:p>
        </w:tc>
      </w:tr>
      <w:tr w:rsidR="00571A22" w:rsidRPr="00571A22" w:rsidTr="00616A0E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проведения аукционов на право аренды земельных участков в целях жилищного строительства, развития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застроенных территорий, освоения территории в целях строительства стандартного жилья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Вовлечение в хозяйственный оборот земельных участков, находящихся в государственной, муниципальной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собственности,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планируемых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к проведению аукционов на право аренды земельных участков в целях жилищного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размещаются на  официальном сайте Администрации Верхнекетского района, на официальном сайте Белоярского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2020-2022</w:t>
            </w:r>
            <w:r w:rsidRPr="00571A22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487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571A22" w:rsidRDefault="00571A22" w:rsidP="00571A22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571A22" w:rsidRPr="00571A22" w:rsidTr="00616A0E">
        <w:trPr>
          <w:trHeight w:val="4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Перечня организаций, оказывающих услуги на рынке ремонта автотранспортных средств Верхнекетского района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Размещение на сайте Администрации Верхнекетского района в сети «Интернет» перечня организаций, оказывающих услуги на рынке ремонта автотранспортных средств Верхнекетского района Томской области: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01.05.2020;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571A22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мониторинга организаций, оказывающих услуги на рынке ремонта автотранспортных средств на территории муниципального образования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Верхнекетский район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Проведение мониторинга: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01.03.2020;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</w:tr>
      <w:tr w:rsidR="00571A22" w:rsidRPr="00571A22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теплоснабжения (производство тепловой энергии)</w:t>
            </w: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Российской Федерации для размещения информации о проведении торгов перечня объектов, в отношении которых планируется заключение концессионных соглашений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Перечень объектов, в отношении которых планируется заключение концессионных соглашений, размещен на официальном сайте Российской Федерации для размещения информации о проведении торгов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да;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да;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571A22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.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ab/>
              <w:t>Рынок выполнения работ по содержанию и текущему</w:t>
            </w: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ремонту общего имущества собственников помещений</w:t>
            </w: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многоквартирном доме</w:t>
            </w: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управляющих организаций для управления такими домами большего количества управляющих организаций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Повышение уровня информированности организаций и населения, обеспечение общественного </w:t>
            </w: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контроля за</w:t>
            </w:r>
            <w:proofErr w:type="gramEnd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Размещение  </w:t>
            </w: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на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официальном </w:t>
            </w: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сайте</w:t>
            </w:r>
            <w:proofErr w:type="gramEnd"/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Администрации Верхнекетского района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и в информационно-телекоммуникационной сети "Интернет" актуальной информации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по мере ее появления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жилищно-коммунального хозяйства Администрации Верхнекетского района</w:t>
            </w:r>
          </w:p>
        </w:tc>
      </w:tr>
      <w:tr w:rsidR="00571A22" w:rsidRPr="00571A22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5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Рынок оказания услуг по перевозке пассажиров</w:t>
            </w: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автомобильным транспортом </w:t>
            </w:r>
            <w:proofErr w:type="gramStart"/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по</w:t>
            </w:r>
            <w:proofErr w:type="gramEnd"/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муниципальным</w:t>
            </w: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маршрутам регулярных перевозок</w:t>
            </w:r>
          </w:p>
        </w:tc>
      </w:tr>
      <w:tr w:rsidR="00571A22" w:rsidRPr="00571A22" w:rsidTr="00616A0E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автотранспортом</w:t>
            </w:r>
          </w:p>
          <w:p w:rsidR="00571A22" w:rsidRPr="00571A22" w:rsidRDefault="00571A22" w:rsidP="00571A22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автотранспортом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Актуализация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информации о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критериях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конкурсного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отбора перевозчиков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Администрации Верхнекетского района в сети «Интернет» не менее 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hd w:val="clear" w:color="auto" w:fill="FFFFFF"/>
              <w:spacing w:line="250" w:lineRule="exact"/>
              <w:ind w:left="14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Развитие  конкуренции в сфере по перевозке пассажиров автотранспортом и благоприятных условий субъектам транспортной инфраструктуры, включая:</w:t>
            </w:r>
          </w:p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формирование сети регулярных маршрутов; создание условий, обеспечивающих безопасное и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качественное предоставление услуг по перевозке пассажиров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 xml:space="preserve">Увеличение количества перевозчиков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различных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форм собственности; наличие сети регулярных маршрутов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Оказание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квалифицированной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консультативной помощи по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вопросам организации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регулярных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перевозок пассажиров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муниципальным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маршрутам регулярных перевозок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Мониторинг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Количество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проведенных проверок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(мониторингов)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2020-2022</w:t>
            </w:r>
            <w:r w:rsidRPr="00571A22">
              <w:rPr>
                <w:rFonts w:ascii="Arial" w:eastAsia="Arial Unicode MS" w:hAnsi="Arial" w:cs="Arial"/>
                <w:color w:val="C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571A22" w:rsidTr="00616A0E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Администрации Верхнекетского района в сети «Интернет» реестра муниципальных маршрутов регулярных перевозок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Обеспечение свободного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доступа субъектов рынка   оказания   услуг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по перевозке пассажиров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автомобильным транспортом по муниципальным маршрутам    регулярных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Актуализация на официальном сайте Администрации Верхнекетского района в сети «Интернет» информации о действующих, измененных или отмененных</w:t>
            </w:r>
            <w:r w:rsidRPr="00571A22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маршрутах     </w:t>
            </w:r>
            <w:r w:rsidRPr="00571A22">
              <w:rPr>
                <w:rFonts w:ascii="Arial Unicode MS" w:eastAsia="Arial Unicode MS" w:hAnsi="Arial Unicode MS" w:cs="Arial Unicode MS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по мере внесения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71A22" w:rsidRPr="00571A22" w:rsidTr="00616A0E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.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ab/>
              <w:t>Розничная торговля лекарственными препаратами, изделиями</w:t>
            </w:r>
          </w:p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медицинского назначения и сопутствующими товарами</w:t>
            </w:r>
          </w:p>
        </w:tc>
      </w:tr>
      <w:tr w:rsidR="00571A22" w:rsidRPr="00571A22" w:rsidTr="00616A0E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Увеличение количества действующих организаций частной формы собственности, осуществляющих,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розничную торговлю лекарственными препаратами, изделиями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медицинского назначения и сопутствующими товарами, в том числе в отдаленных и труднодоступных населенных пунктах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действующих организаций частной формы собственности, осуществляющих, розничную торговлю лекарственными препаратами, изделиями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медицинского назначения и сопутствующими товарами на территории муниципального образования Верхнекетский район Томской области (единиц):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01.01.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2020 – 4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01.01.2021 – 4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01.01.2022 –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>2020-2022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:rsidR="00571A22" w:rsidRPr="00571A22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</w:pPr>
          </w:p>
          <w:p w:rsidR="00571A22" w:rsidRPr="00571A22" w:rsidRDefault="00571A22" w:rsidP="00571A22">
            <w:pPr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</w:tr>
    </w:tbl>
    <w:p w:rsidR="00571A22" w:rsidRPr="00571A22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571A22" w:rsidRPr="00571A22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571A22" w:rsidRPr="00571A22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571A22" w:rsidRPr="00571A22" w:rsidRDefault="00571A22" w:rsidP="00571A22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r w:rsidRPr="00571A22">
        <w:rPr>
          <w:rFonts w:ascii="Arial" w:eastAsia="Arial Unicode MS" w:hAnsi="Arial" w:cs="Arial"/>
          <w:color w:val="000000"/>
          <w:sz w:val="24"/>
          <w:szCs w:val="24"/>
        </w:rPr>
        <w:t>III. Системные мероприятия, направленные на развитие конкурентной среды в муниципальном образовании Верхнекетский район Томской области</w:t>
      </w:r>
    </w:p>
    <w:tbl>
      <w:tblPr>
        <w:tblpPr w:leftFromText="180" w:rightFromText="180" w:vertAnchor="text" w:horzAnchor="margin" w:tblpY="1283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28"/>
        <w:gridCol w:w="2835"/>
        <w:gridCol w:w="2693"/>
        <w:gridCol w:w="2411"/>
        <w:gridCol w:w="2975"/>
      </w:tblGrid>
      <w:tr w:rsidR="00571A22" w:rsidRPr="00571A22" w:rsidTr="00616A0E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45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9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45" w:lineRule="exact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spacing w:line="250" w:lineRule="exact"/>
              <w:ind w:right="62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71A22" w:rsidRPr="00571A22" w:rsidTr="00616A0E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left="1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Оказание консультационной и </w:t>
            </w:r>
            <w:r w:rsidRPr="00571A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информационной поддержки субъектов малого предпринимательства по вопросам участия в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Повышение профессионализма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субъектов предпринимательской деятельности в закупочном процессе, решение текущих проблем при проведении закупочных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Доля муниципальных контрактов с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субъектами малого предпринимательства в общей стоимости муниципальных контрактов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9,65%;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9,65%;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9,65%.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Содействие увеличению количества участников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конкурентных процедур определения поставщиков </w:t>
            </w: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при</w:t>
            </w:r>
            <w:proofErr w:type="gramEnd"/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proofErr w:type="gramStart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осуществлении</w:t>
            </w:r>
            <w:proofErr w:type="gramEnd"/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закупок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Развитие конкуренции при осуществлении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1,5;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1,5;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Выявление и оценка рисков нарушения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антимонопольного 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законодательства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в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Администрации Верхнекетского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Отсутствие выданных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Администрации Верхнекетского района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 предупреждений и (или) решений (предписаний) по результатам рассмотрения дела о нарушении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Количество выданных  Администрации Верхнекетского района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предупреждений, решений, предписаний,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 отмененных           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вступившим в законную силу судебным актом)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на 01.01.2021 – отсутствуют;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на 01.01.2022 – 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отсутствуют;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на 01.01.2023 – 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отсутствуют.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lastRenderedPageBreak/>
              <w:t>2020-2022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Организация работы по информированию населения и представителей бизнеса о проведении Департаментом экономики Томской области мониторинга состояния и развития конкуренции на рынках товаров, работ и услуг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 с рынка), и их устранение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Показатели выборки для опросов населения и бизнеса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(минимальное значение):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к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оличество субъектов предпринимательской деятельности, подлежащих опросу - 30;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571A2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человек, подлежащих опросу – 70.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2020-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 г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571A22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 xml:space="preserve">Разработка и утверждение единых показателей эффективности использования муниципального имущества (в том числе земельных участков), как находящиеся в казне муниципального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образования Верхнекетский район Томской области, так и закрепленного за муниципальными предприятиями 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Эффективное использование, а также использование по целевому назначению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Ежегодное утверждение плана проведения проверок сохранности и эффективности использования муниципального имущества муниципального </w:t>
            </w: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образования Верхнекетский район Томской области: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-1;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571A22" w:rsidRPr="00571A22" w:rsidTr="00616A0E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 муниципального образования Верхнекетский район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Обеспечение равных условий доступа к информации о реализации имущества, находящегося в собственности </w:t>
            </w:r>
            <w:r w:rsidRPr="00571A22">
              <w:rPr>
                <w:rFonts w:ascii="Arial" w:eastAsia="Arial Unicode MS" w:hAnsi="Arial" w:cs="Arial"/>
                <w:sz w:val="24"/>
                <w:szCs w:val="24"/>
              </w:rPr>
              <w:t>муниципального образования Верхнекетский район Томской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A22" w:rsidRPr="00571A22" w:rsidRDefault="00571A22" w:rsidP="00571A22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571A22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</w:tbl>
    <w:p w:rsidR="00571A22" w:rsidRPr="00571A22" w:rsidRDefault="00571A22" w:rsidP="00571A22">
      <w:pPr>
        <w:ind w:firstLine="0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</w:p>
    <w:p w:rsidR="00571A22" w:rsidRPr="00571A22" w:rsidRDefault="00571A22">
      <w:pPr>
        <w:ind w:firstLine="0"/>
        <w:rPr>
          <w:lang w:val="ru"/>
        </w:rPr>
      </w:pPr>
    </w:p>
    <w:p w:rsidR="00571A22" w:rsidRPr="00244050" w:rsidRDefault="00571A22">
      <w:pPr>
        <w:ind w:firstLine="0"/>
      </w:pPr>
    </w:p>
    <w:sectPr w:rsidR="00571A22" w:rsidRPr="00244050" w:rsidSect="00571A22">
      <w:pgSz w:w="16838" w:h="11906" w:orient="landscape"/>
      <w:pgMar w:top="1418" w:right="1134" w:bottom="707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51" w:rsidRDefault="00F32051" w:rsidP="003559D1">
      <w:r>
        <w:separator/>
      </w:r>
    </w:p>
  </w:endnote>
  <w:endnote w:type="continuationSeparator" w:id="0">
    <w:p w:rsidR="00F32051" w:rsidRDefault="00F32051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51" w:rsidRDefault="00F32051" w:rsidP="003559D1">
      <w:r>
        <w:separator/>
      </w:r>
    </w:p>
  </w:footnote>
  <w:footnote w:type="continuationSeparator" w:id="0">
    <w:p w:rsidR="00F32051" w:rsidRDefault="00F32051" w:rsidP="0035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F6715"/>
    <w:multiLevelType w:val="hybridMultilevel"/>
    <w:tmpl w:val="4544BCF8"/>
    <w:lvl w:ilvl="0" w:tplc="95822936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3C7829"/>
    <w:multiLevelType w:val="multilevel"/>
    <w:tmpl w:val="839465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AE67C6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16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3FA"/>
    <w:rsid w:val="00001B03"/>
    <w:rsid w:val="00020595"/>
    <w:rsid w:val="00075FAC"/>
    <w:rsid w:val="00080261"/>
    <w:rsid w:val="000876D4"/>
    <w:rsid w:val="000B1F31"/>
    <w:rsid w:val="000C3327"/>
    <w:rsid w:val="000D06A6"/>
    <w:rsid w:val="000D6325"/>
    <w:rsid w:val="000E0B88"/>
    <w:rsid w:val="000E2EF2"/>
    <w:rsid w:val="000F119E"/>
    <w:rsid w:val="0013202C"/>
    <w:rsid w:val="001458A6"/>
    <w:rsid w:val="00150273"/>
    <w:rsid w:val="00193EF5"/>
    <w:rsid w:val="00194352"/>
    <w:rsid w:val="001B0354"/>
    <w:rsid w:val="001C1855"/>
    <w:rsid w:val="001C1C8C"/>
    <w:rsid w:val="001C534D"/>
    <w:rsid w:val="001D2121"/>
    <w:rsid w:val="001F5E31"/>
    <w:rsid w:val="00202FC0"/>
    <w:rsid w:val="002274BF"/>
    <w:rsid w:val="00244050"/>
    <w:rsid w:val="002516ED"/>
    <w:rsid w:val="002850C1"/>
    <w:rsid w:val="002E2CCE"/>
    <w:rsid w:val="002F019D"/>
    <w:rsid w:val="003172F8"/>
    <w:rsid w:val="00317361"/>
    <w:rsid w:val="00344CA9"/>
    <w:rsid w:val="003559D1"/>
    <w:rsid w:val="003627DB"/>
    <w:rsid w:val="0037181A"/>
    <w:rsid w:val="00374F91"/>
    <w:rsid w:val="00380093"/>
    <w:rsid w:val="003905A3"/>
    <w:rsid w:val="003B0847"/>
    <w:rsid w:val="003E3B9B"/>
    <w:rsid w:val="003E597C"/>
    <w:rsid w:val="0041757B"/>
    <w:rsid w:val="004226BC"/>
    <w:rsid w:val="00422C14"/>
    <w:rsid w:val="004A3F71"/>
    <w:rsid w:val="004B18BA"/>
    <w:rsid w:val="004B5903"/>
    <w:rsid w:val="0050560E"/>
    <w:rsid w:val="005138FF"/>
    <w:rsid w:val="00514EEB"/>
    <w:rsid w:val="00533625"/>
    <w:rsid w:val="00571A22"/>
    <w:rsid w:val="00574679"/>
    <w:rsid w:val="005807DF"/>
    <w:rsid w:val="00591E96"/>
    <w:rsid w:val="005A4A18"/>
    <w:rsid w:val="005B4E9B"/>
    <w:rsid w:val="005B6E14"/>
    <w:rsid w:val="005C450D"/>
    <w:rsid w:val="005D5619"/>
    <w:rsid w:val="005F6EDD"/>
    <w:rsid w:val="00601BD9"/>
    <w:rsid w:val="006043B9"/>
    <w:rsid w:val="00612995"/>
    <w:rsid w:val="00615222"/>
    <w:rsid w:val="0064654C"/>
    <w:rsid w:val="00673E07"/>
    <w:rsid w:val="0069186D"/>
    <w:rsid w:val="006B2164"/>
    <w:rsid w:val="006B5693"/>
    <w:rsid w:val="0070107A"/>
    <w:rsid w:val="007122A1"/>
    <w:rsid w:val="0072338F"/>
    <w:rsid w:val="00750478"/>
    <w:rsid w:val="007559C7"/>
    <w:rsid w:val="00764E1E"/>
    <w:rsid w:val="0076524B"/>
    <w:rsid w:val="0077681C"/>
    <w:rsid w:val="00776B0F"/>
    <w:rsid w:val="00785BBD"/>
    <w:rsid w:val="007969EE"/>
    <w:rsid w:val="007B19F0"/>
    <w:rsid w:val="007C176E"/>
    <w:rsid w:val="007F413E"/>
    <w:rsid w:val="008060F1"/>
    <w:rsid w:val="00806142"/>
    <w:rsid w:val="008152C2"/>
    <w:rsid w:val="0083798F"/>
    <w:rsid w:val="00860BBF"/>
    <w:rsid w:val="00872C02"/>
    <w:rsid w:val="00882068"/>
    <w:rsid w:val="00884C1E"/>
    <w:rsid w:val="00885BD7"/>
    <w:rsid w:val="0089067E"/>
    <w:rsid w:val="008B09A8"/>
    <w:rsid w:val="008E6CD3"/>
    <w:rsid w:val="008E6ED1"/>
    <w:rsid w:val="00911F44"/>
    <w:rsid w:val="00922F1A"/>
    <w:rsid w:val="0092427C"/>
    <w:rsid w:val="009276EF"/>
    <w:rsid w:val="00932FA2"/>
    <w:rsid w:val="00953D8F"/>
    <w:rsid w:val="00987D03"/>
    <w:rsid w:val="009C1BD9"/>
    <w:rsid w:val="009C64A3"/>
    <w:rsid w:val="009C6D5B"/>
    <w:rsid w:val="00A2241C"/>
    <w:rsid w:val="00A61B9A"/>
    <w:rsid w:val="00AE408D"/>
    <w:rsid w:val="00AE7ACC"/>
    <w:rsid w:val="00AF5BFB"/>
    <w:rsid w:val="00B01D92"/>
    <w:rsid w:val="00B02F8A"/>
    <w:rsid w:val="00B0320C"/>
    <w:rsid w:val="00B04E20"/>
    <w:rsid w:val="00B14EE2"/>
    <w:rsid w:val="00B224A9"/>
    <w:rsid w:val="00B44A28"/>
    <w:rsid w:val="00B50FD5"/>
    <w:rsid w:val="00B62CB4"/>
    <w:rsid w:val="00B74BCF"/>
    <w:rsid w:val="00B91BFE"/>
    <w:rsid w:val="00BF395E"/>
    <w:rsid w:val="00BF5C27"/>
    <w:rsid w:val="00C008B2"/>
    <w:rsid w:val="00C117A8"/>
    <w:rsid w:val="00C4091D"/>
    <w:rsid w:val="00C443FA"/>
    <w:rsid w:val="00C44432"/>
    <w:rsid w:val="00C45C39"/>
    <w:rsid w:val="00CA2772"/>
    <w:rsid w:val="00CB72BA"/>
    <w:rsid w:val="00CB73DC"/>
    <w:rsid w:val="00CD6E39"/>
    <w:rsid w:val="00CF0D0C"/>
    <w:rsid w:val="00CF306C"/>
    <w:rsid w:val="00D14669"/>
    <w:rsid w:val="00D30677"/>
    <w:rsid w:val="00D930C0"/>
    <w:rsid w:val="00D94AA3"/>
    <w:rsid w:val="00DB4B0E"/>
    <w:rsid w:val="00DE6B67"/>
    <w:rsid w:val="00E07C05"/>
    <w:rsid w:val="00E2532B"/>
    <w:rsid w:val="00E256B3"/>
    <w:rsid w:val="00E54E37"/>
    <w:rsid w:val="00E60253"/>
    <w:rsid w:val="00E61861"/>
    <w:rsid w:val="00E70511"/>
    <w:rsid w:val="00E75933"/>
    <w:rsid w:val="00E86335"/>
    <w:rsid w:val="00E90A1B"/>
    <w:rsid w:val="00E963BD"/>
    <w:rsid w:val="00EC6D88"/>
    <w:rsid w:val="00EE4CC7"/>
    <w:rsid w:val="00EE52C2"/>
    <w:rsid w:val="00F15AB1"/>
    <w:rsid w:val="00F235B1"/>
    <w:rsid w:val="00F32051"/>
    <w:rsid w:val="00F4276B"/>
    <w:rsid w:val="00F6131E"/>
    <w:rsid w:val="00F85A02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571A22"/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A12E-4348-4743-9248-FE0910E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Татьяна</cp:lastModifiedBy>
  <cp:revision>172</cp:revision>
  <cp:lastPrinted>2019-11-12T07:31:00Z</cp:lastPrinted>
  <dcterms:created xsi:type="dcterms:W3CDTF">2019-03-13T09:18:00Z</dcterms:created>
  <dcterms:modified xsi:type="dcterms:W3CDTF">2020-10-06T04:24:00Z</dcterms:modified>
</cp:coreProperties>
</file>