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54" w:rsidRPr="00F57254" w:rsidRDefault="00F57254" w:rsidP="00F57254">
      <w:pPr>
        <w:widowControl w:val="0"/>
        <w:autoSpaceDE w:val="0"/>
        <w:autoSpaceDN w:val="0"/>
        <w:adjustRightInd w:val="0"/>
        <w:ind w:firstLine="0"/>
        <w:jc w:val="center"/>
        <w:rPr>
          <w:rFonts w:ascii="Arial" w:hAnsi="Arial" w:cs="Arial"/>
          <w:sz w:val="20"/>
        </w:rPr>
      </w:pPr>
      <w:r w:rsidRPr="00F57254">
        <w:rPr>
          <w:rFonts w:ascii="Arial" w:hAnsi="Arial" w:cs="Arial"/>
          <w:noProof/>
          <w:sz w:val="20"/>
        </w:rPr>
        <w:drawing>
          <wp:inline distT="0" distB="0" distL="0" distR="0">
            <wp:extent cx="438150" cy="533400"/>
            <wp:effectExtent l="0" t="0" r="0" b="0"/>
            <wp:docPr id="4" name="Рисунок 4"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утвержденный герб Верхнекетского р-на"/>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F57254" w:rsidRPr="00F57254" w:rsidRDefault="00F57254" w:rsidP="00F57254">
      <w:pPr>
        <w:widowControl w:val="0"/>
        <w:autoSpaceDE w:val="0"/>
        <w:autoSpaceDN w:val="0"/>
        <w:adjustRightInd w:val="0"/>
        <w:ind w:firstLine="0"/>
        <w:jc w:val="center"/>
        <w:rPr>
          <w:rFonts w:ascii="Arial" w:hAnsi="Arial" w:cs="Arial"/>
          <w:sz w:val="20"/>
        </w:rPr>
      </w:pPr>
    </w:p>
    <w:p w:rsidR="00F57254" w:rsidRPr="00F57254" w:rsidRDefault="00F57254" w:rsidP="00F57254">
      <w:pPr>
        <w:widowControl w:val="0"/>
        <w:ind w:firstLine="0"/>
        <w:jc w:val="center"/>
        <w:outlineLvl w:val="0"/>
        <w:rPr>
          <w:rFonts w:ascii="Arial" w:hAnsi="Arial" w:cs="Arial"/>
          <w:b/>
          <w:bCs/>
          <w:spacing w:val="40"/>
          <w:sz w:val="28"/>
          <w:szCs w:val="28"/>
        </w:rPr>
      </w:pPr>
      <w:r w:rsidRPr="00F57254">
        <w:rPr>
          <w:rFonts w:ascii="Arial" w:hAnsi="Arial" w:cs="Arial"/>
          <w:b/>
          <w:bCs/>
          <w:spacing w:val="40"/>
          <w:sz w:val="28"/>
          <w:szCs w:val="28"/>
        </w:rPr>
        <w:t>Администрация Верхнекетского района</w:t>
      </w:r>
    </w:p>
    <w:p w:rsidR="00F57254" w:rsidRPr="00F57254" w:rsidRDefault="00F57254" w:rsidP="00F57254">
      <w:pPr>
        <w:widowControl w:val="0"/>
        <w:spacing w:before="120" w:after="120"/>
        <w:ind w:firstLine="0"/>
        <w:jc w:val="center"/>
        <w:rPr>
          <w:rFonts w:ascii="Arial" w:hAnsi="Arial" w:cs="Arial"/>
          <w:b/>
          <w:bCs/>
          <w:spacing w:val="30"/>
          <w:sz w:val="28"/>
          <w:szCs w:val="28"/>
        </w:rPr>
      </w:pPr>
      <w:r w:rsidRPr="00F57254">
        <w:rPr>
          <w:rFonts w:ascii="Arial" w:hAnsi="Arial" w:cs="Arial"/>
          <w:b/>
          <w:bCs/>
          <w:spacing w:val="30"/>
          <w:sz w:val="28"/>
          <w:szCs w:val="28"/>
        </w:rPr>
        <w:t>ПОСТАНОВЛЕНИЕ</w:t>
      </w:r>
    </w:p>
    <w:tbl>
      <w:tblPr>
        <w:tblW w:w="9639" w:type="dxa"/>
        <w:tblLayout w:type="fixed"/>
        <w:tblCellMar>
          <w:left w:w="0" w:type="dxa"/>
          <w:right w:w="0" w:type="dxa"/>
        </w:tblCellMar>
        <w:tblLook w:val="0000" w:firstRow="0" w:lastRow="0" w:firstColumn="0" w:lastColumn="0" w:noHBand="0" w:noVBand="0"/>
      </w:tblPr>
      <w:tblGrid>
        <w:gridCol w:w="3697"/>
        <w:gridCol w:w="2211"/>
        <w:gridCol w:w="3731"/>
      </w:tblGrid>
      <w:tr w:rsidR="00F57254" w:rsidRPr="00F57254" w:rsidTr="00F57254">
        <w:tc>
          <w:tcPr>
            <w:tcW w:w="3697" w:type="dxa"/>
          </w:tcPr>
          <w:p w:rsidR="00F57254" w:rsidRPr="00F57254" w:rsidRDefault="00F57254" w:rsidP="00F57254">
            <w:pPr>
              <w:widowControl w:val="0"/>
              <w:ind w:firstLine="0"/>
              <w:rPr>
                <w:rFonts w:ascii="Arial" w:hAnsi="Arial" w:cs="Arial"/>
                <w:bCs/>
                <w:sz w:val="24"/>
                <w:szCs w:val="24"/>
              </w:rPr>
            </w:pPr>
            <w:r w:rsidRPr="00F57254">
              <w:rPr>
                <w:rFonts w:ascii="Arial" w:hAnsi="Arial" w:cs="Arial"/>
                <w:bCs/>
                <w:sz w:val="24"/>
                <w:szCs w:val="24"/>
              </w:rPr>
              <w:t>15 ноября 2021 г.</w:t>
            </w:r>
          </w:p>
        </w:tc>
        <w:tc>
          <w:tcPr>
            <w:tcW w:w="2211" w:type="dxa"/>
          </w:tcPr>
          <w:p w:rsidR="00F57254" w:rsidRPr="00F57254" w:rsidRDefault="00F57254" w:rsidP="00F57254">
            <w:pPr>
              <w:widowControl w:val="0"/>
              <w:ind w:firstLine="0"/>
              <w:jc w:val="center"/>
              <w:rPr>
                <w:rFonts w:ascii="Arial" w:hAnsi="Arial" w:cs="Arial"/>
                <w:sz w:val="20"/>
              </w:rPr>
            </w:pPr>
            <w:r w:rsidRPr="00F57254">
              <w:rPr>
                <w:rFonts w:ascii="Arial" w:hAnsi="Arial" w:cs="Arial"/>
                <w:sz w:val="16"/>
                <w:szCs w:val="16"/>
              </w:rPr>
              <w:t xml:space="preserve">р.п. </w:t>
            </w:r>
            <w:r w:rsidRPr="00F57254">
              <w:rPr>
                <w:rFonts w:ascii="Arial" w:hAnsi="Arial" w:cs="Arial"/>
                <w:sz w:val="20"/>
              </w:rPr>
              <w:t>Белый Яр</w:t>
            </w:r>
          </w:p>
          <w:p w:rsidR="00F57254" w:rsidRPr="00F57254" w:rsidRDefault="00F57254" w:rsidP="00F57254">
            <w:pPr>
              <w:widowControl w:val="0"/>
              <w:ind w:firstLine="0"/>
              <w:jc w:val="center"/>
              <w:rPr>
                <w:rFonts w:ascii="Arial" w:hAnsi="Arial" w:cs="Arial"/>
                <w:sz w:val="20"/>
              </w:rPr>
            </w:pPr>
            <w:r w:rsidRPr="00F57254">
              <w:rPr>
                <w:rFonts w:ascii="Arial" w:hAnsi="Arial" w:cs="Arial"/>
                <w:sz w:val="20"/>
              </w:rPr>
              <w:t>Верхнекетского района</w:t>
            </w:r>
          </w:p>
          <w:p w:rsidR="00F57254" w:rsidRPr="00F57254" w:rsidRDefault="00F57254" w:rsidP="00F57254">
            <w:pPr>
              <w:widowControl w:val="0"/>
              <w:ind w:firstLine="0"/>
              <w:jc w:val="center"/>
              <w:rPr>
                <w:rFonts w:ascii="Arial" w:hAnsi="Arial" w:cs="Arial"/>
                <w:sz w:val="2"/>
                <w:szCs w:val="2"/>
              </w:rPr>
            </w:pPr>
            <w:r w:rsidRPr="00F57254">
              <w:rPr>
                <w:rFonts w:ascii="Arial" w:hAnsi="Arial" w:cs="Arial"/>
                <w:sz w:val="2"/>
                <w:szCs w:val="2"/>
              </w:rPr>
              <w:t xml:space="preserve"> </w:t>
            </w:r>
            <w:r w:rsidRPr="00F57254">
              <w:rPr>
                <w:rFonts w:ascii="Arial" w:hAnsi="Arial" w:cs="Arial"/>
                <w:sz w:val="20"/>
              </w:rPr>
              <w:t>Томской области</w:t>
            </w:r>
          </w:p>
        </w:tc>
        <w:tc>
          <w:tcPr>
            <w:tcW w:w="3731" w:type="dxa"/>
          </w:tcPr>
          <w:p w:rsidR="00F57254" w:rsidRPr="00F57254" w:rsidRDefault="00F57254" w:rsidP="00F57254">
            <w:pPr>
              <w:widowControl w:val="0"/>
              <w:ind w:right="57" w:firstLine="0"/>
              <w:rPr>
                <w:rFonts w:ascii="Arial" w:hAnsi="Arial" w:cs="Arial"/>
                <w:bCs/>
                <w:sz w:val="24"/>
                <w:szCs w:val="24"/>
              </w:rPr>
            </w:pPr>
            <w:r w:rsidRPr="00F57254">
              <w:rPr>
                <w:rFonts w:ascii="Arial" w:hAnsi="Arial" w:cs="Arial"/>
                <w:bCs/>
                <w:sz w:val="24"/>
                <w:szCs w:val="24"/>
              </w:rPr>
              <w:t xml:space="preserve">                                       № 972    </w:t>
            </w:r>
          </w:p>
        </w:tc>
      </w:tr>
    </w:tbl>
    <w:p w:rsidR="00F57254" w:rsidRPr="00F57254" w:rsidRDefault="00F57254" w:rsidP="00F57254">
      <w:pPr>
        <w:widowControl w:val="0"/>
        <w:tabs>
          <w:tab w:val="left" w:pos="-2552"/>
          <w:tab w:val="left" w:pos="0"/>
        </w:tabs>
        <w:ind w:right="4393" w:firstLine="0"/>
        <w:rPr>
          <w:rFonts w:ascii="Arial" w:hAnsi="Arial" w:cs="Arial"/>
          <w:b/>
          <w:i/>
          <w:sz w:val="24"/>
          <w:szCs w:val="24"/>
        </w:rPr>
      </w:pPr>
    </w:p>
    <w:tbl>
      <w:tblPr>
        <w:tblW w:w="974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57254" w:rsidRPr="00F57254" w:rsidTr="00F57254">
        <w:trPr>
          <w:trHeight w:val="288"/>
        </w:trPr>
        <w:tc>
          <w:tcPr>
            <w:tcW w:w="9747" w:type="dxa"/>
            <w:tcBorders>
              <w:top w:val="nil"/>
              <w:left w:val="nil"/>
              <w:bottom w:val="nil"/>
              <w:right w:val="nil"/>
            </w:tcBorders>
          </w:tcPr>
          <w:p w:rsidR="00F57254" w:rsidRPr="00F57254" w:rsidRDefault="00F57254" w:rsidP="00F57254">
            <w:pPr>
              <w:tabs>
                <w:tab w:val="left" w:pos="-2552"/>
                <w:tab w:val="left" w:pos="3828"/>
                <w:tab w:val="left" w:pos="4111"/>
                <w:tab w:val="left" w:pos="4678"/>
              </w:tabs>
              <w:ind w:right="2835" w:firstLine="0"/>
              <w:jc w:val="center"/>
              <w:rPr>
                <w:rFonts w:ascii="Arial" w:hAnsi="Arial" w:cs="Arial"/>
                <w:b/>
                <w:sz w:val="24"/>
                <w:szCs w:val="24"/>
              </w:rPr>
            </w:pPr>
            <w:r w:rsidRPr="00F57254">
              <w:rPr>
                <w:rFonts w:ascii="Arial" w:hAnsi="Arial" w:cs="Arial"/>
                <w:b/>
                <w:sz w:val="24"/>
                <w:szCs w:val="24"/>
              </w:rPr>
              <w:t>Об утверждении прогноза социально-экономического развития Верхнекетского района Томской области на 2022-2024 годы</w:t>
            </w:r>
          </w:p>
          <w:p w:rsidR="00F57254" w:rsidRPr="00F57254" w:rsidRDefault="00F57254" w:rsidP="00F57254">
            <w:pPr>
              <w:widowControl w:val="0"/>
              <w:tabs>
                <w:tab w:val="left" w:pos="6315"/>
              </w:tabs>
              <w:autoSpaceDE w:val="0"/>
              <w:autoSpaceDN w:val="0"/>
              <w:adjustRightInd w:val="0"/>
              <w:ind w:right="2693" w:firstLine="0"/>
              <w:jc w:val="center"/>
              <w:rPr>
                <w:rFonts w:ascii="Arial" w:hAnsi="Arial" w:cs="Arial"/>
                <w:b/>
                <w:bCs/>
                <w:sz w:val="24"/>
                <w:szCs w:val="24"/>
              </w:rPr>
            </w:pPr>
          </w:p>
          <w:p w:rsidR="00F57254" w:rsidRPr="00F57254" w:rsidRDefault="00F57254" w:rsidP="00F57254">
            <w:pPr>
              <w:widowControl w:val="0"/>
              <w:tabs>
                <w:tab w:val="left" w:pos="6315"/>
              </w:tabs>
              <w:autoSpaceDE w:val="0"/>
              <w:autoSpaceDN w:val="0"/>
              <w:adjustRightInd w:val="0"/>
              <w:ind w:right="2693" w:firstLine="0"/>
              <w:jc w:val="center"/>
              <w:rPr>
                <w:sz w:val="24"/>
                <w:szCs w:val="24"/>
              </w:rPr>
            </w:pPr>
          </w:p>
        </w:tc>
      </w:tr>
    </w:tbl>
    <w:p w:rsidR="00F57254" w:rsidRPr="00F57254" w:rsidRDefault="00F57254" w:rsidP="00F57254">
      <w:pPr>
        <w:spacing w:line="276" w:lineRule="auto"/>
        <w:ind w:firstLine="720"/>
        <w:jc w:val="both"/>
        <w:rPr>
          <w:rFonts w:ascii="Arial" w:hAnsi="Arial" w:cs="Arial"/>
          <w:bCs/>
          <w:sz w:val="24"/>
          <w:szCs w:val="24"/>
        </w:rPr>
      </w:pPr>
      <w:r w:rsidRPr="00F57254">
        <w:rPr>
          <w:rFonts w:ascii="Arial" w:hAnsi="Arial" w:cs="Arial"/>
          <w:bCs/>
          <w:sz w:val="24"/>
          <w:szCs w:val="24"/>
        </w:rPr>
        <w:t>В соответствии со ст. 173 Бюджетного кодекса Российской Федерации, Порядком разработки прогноза социально-экономического развития муниципального образования Верхнекетский район Томской области на среднесрочный период, утвержденным постановлением Администрации Верхнекетского района от 28.10.2016 № 826</w:t>
      </w:r>
      <w:r w:rsidRPr="00F57254">
        <w:rPr>
          <w:rFonts w:ascii="Arial" w:hAnsi="Arial" w:cs="Arial"/>
          <w:sz w:val="24"/>
          <w:szCs w:val="24"/>
        </w:rPr>
        <w:t>, постановляю</w:t>
      </w:r>
      <w:r w:rsidRPr="00F57254">
        <w:rPr>
          <w:rFonts w:ascii="Arial" w:hAnsi="Arial" w:cs="Arial"/>
          <w:iCs/>
          <w:sz w:val="24"/>
          <w:szCs w:val="24"/>
        </w:rPr>
        <w:t>:</w:t>
      </w:r>
    </w:p>
    <w:p w:rsidR="00F57254" w:rsidRPr="00F57254" w:rsidRDefault="00F57254" w:rsidP="00F57254">
      <w:pPr>
        <w:tabs>
          <w:tab w:val="left" w:pos="0"/>
        </w:tabs>
        <w:autoSpaceDE w:val="0"/>
        <w:autoSpaceDN w:val="0"/>
        <w:adjustRightInd w:val="0"/>
        <w:jc w:val="both"/>
        <w:rPr>
          <w:rFonts w:ascii="Arial" w:hAnsi="Arial" w:cs="Arial"/>
          <w:sz w:val="24"/>
          <w:szCs w:val="24"/>
        </w:rPr>
      </w:pPr>
    </w:p>
    <w:p w:rsidR="00F57254" w:rsidRPr="00F57254" w:rsidRDefault="00F57254" w:rsidP="00F57254">
      <w:pPr>
        <w:spacing w:line="276" w:lineRule="auto"/>
        <w:ind w:firstLine="567"/>
        <w:jc w:val="both"/>
        <w:rPr>
          <w:rFonts w:ascii="Arial" w:hAnsi="Arial" w:cs="Arial"/>
          <w:sz w:val="24"/>
          <w:szCs w:val="24"/>
        </w:rPr>
      </w:pPr>
      <w:r w:rsidRPr="00F57254">
        <w:rPr>
          <w:rFonts w:ascii="Arial" w:hAnsi="Arial" w:cs="Arial"/>
          <w:sz w:val="24"/>
          <w:szCs w:val="24"/>
        </w:rPr>
        <w:t>1. Утвердить</w:t>
      </w:r>
      <w:r w:rsidRPr="00F57254">
        <w:rPr>
          <w:rFonts w:ascii="Arial" w:hAnsi="Arial" w:cs="Arial"/>
          <w:color w:val="C00000"/>
          <w:sz w:val="24"/>
          <w:szCs w:val="24"/>
        </w:rPr>
        <w:t xml:space="preserve"> </w:t>
      </w:r>
      <w:r w:rsidRPr="00F57254">
        <w:rPr>
          <w:rFonts w:ascii="Arial" w:hAnsi="Arial" w:cs="Arial"/>
          <w:sz w:val="24"/>
          <w:szCs w:val="24"/>
        </w:rPr>
        <w:t>прилагаемый прогноз социально-экономического развития Верхнекетского района Томской области на 2022-2024 годы.</w:t>
      </w:r>
    </w:p>
    <w:p w:rsidR="00F57254" w:rsidRPr="00F57254" w:rsidRDefault="00F57254" w:rsidP="00F57254">
      <w:pPr>
        <w:spacing w:line="276" w:lineRule="auto"/>
        <w:ind w:firstLine="567"/>
        <w:jc w:val="both"/>
        <w:rPr>
          <w:rFonts w:ascii="Arial" w:hAnsi="Arial" w:cs="Arial"/>
          <w:sz w:val="24"/>
          <w:szCs w:val="24"/>
        </w:rPr>
      </w:pPr>
      <w:r w:rsidRPr="00F57254">
        <w:rPr>
          <w:rFonts w:ascii="Arial" w:hAnsi="Arial" w:cs="Arial"/>
          <w:sz w:val="24"/>
          <w:szCs w:val="24"/>
        </w:rPr>
        <w:t xml:space="preserve">2. Признать утратившим силу постановление Администрации Верхнекетского района от 17.11.2020 № 1075 «Об утверждении прогноза социально-экономического развития Верхнекетского района Томской области на 2021-2023 годы».  </w:t>
      </w:r>
    </w:p>
    <w:p w:rsidR="00F57254" w:rsidRPr="00F57254" w:rsidRDefault="00F57254" w:rsidP="00F57254">
      <w:pPr>
        <w:spacing w:line="276" w:lineRule="auto"/>
        <w:ind w:firstLine="567"/>
        <w:jc w:val="both"/>
        <w:rPr>
          <w:rFonts w:ascii="Arial" w:hAnsi="Arial" w:cs="Arial"/>
          <w:sz w:val="24"/>
          <w:szCs w:val="24"/>
        </w:rPr>
      </w:pPr>
      <w:r w:rsidRPr="00F57254">
        <w:rPr>
          <w:rFonts w:ascii="Arial" w:hAnsi="Arial" w:cs="Arial"/>
          <w:sz w:val="24"/>
          <w:szCs w:val="24"/>
        </w:rPr>
        <w:t>3.</w:t>
      </w:r>
      <w:r w:rsidRPr="00F57254">
        <w:rPr>
          <w:sz w:val="24"/>
        </w:rPr>
        <w:t xml:space="preserve"> </w:t>
      </w:r>
      <w:r w:rsidRPr="00F57254">
        <w:rPr>
          <w:rFonts w:ascii="Arial" w:hAnsi="Arial" w:cs="Arial"/>
          <w:sz w:val="24"/>
          <w:szCs w:val="24"/>
        </w:rPr>
        <w:t xml:space="preserve">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rsidR="00F57254" w:rsidRPr="00F57254" w:rsidRDefault="00F57254" w:rsidP="00F57254">
      <w:pPr>
        <w:spacing w:line="276" w:lineRule="auto"/>
        <w:ind w:firstLine="567"/>
        <w:jc w:val="both"/>
        <w:rPr>
          <w:rFonts w:ascii="Arial" w:hAnsi="Arial" w:cs="Arial"/>
          <w:sz w:val="24"/>
          <w:szCs w:val="24"/>
        </w:rPr>
      </w:pPr>
      <w:r w:rsidRPr="00F57254">
        <w:rPr>
          <w:rFonts w:ascii="Arial" w:hAnsi="Arial" w:cs="Arial"/>
          <w:sz w:val="24"/>
          <w:szCs w:val="24"/>
        </w:rPr>
        <w:t>4. Настоящее постановление вступает в силу со дня его официального опубликования, но не ранее 01 января 2022 года.</w:t>
      </w:r>
    </w:p>
    <w:p w:rsidR="00F57254" w:rsidRPr="00F57254" w:rsidRDefault="00F57254" w:rsidP="00F57254">
      <w:pPr>
        <w:spacing w:line="276" w:lineRule="auto"/>
        <w:ind w:firstLine="567"/>
        <w:jc w:val="both"/>
        <w:rPr>
          <w:rFonts w:ascii="Arial" w:hAnsi="Arial" w:cs="Arial"/>
          <w:sz w:val="24"/>
          <w:szCs w:val="24"/>
        </w:rPr>
      </w:pPr>
      <w:r w:rsidRPr="00F57254">
        <w:rPr>
          <w:rFonts w:ascii="Arial" w:hAnsi="Arial" w:cs="Arial"/>
          <w:sz w:val="24"/>
          <w:szCs w:val="24"/>
        </w:rPr>
        <w:t>5. Контроль за исполнением настоящего постановления возложить на первого заместителя Главы Верхнекетского района по экономике и инвестиционной политике.</w:t>
      </w:r>
    </w:p>
    <w:p w:rsidR="00F57254" w:rsidRPr="00F57254" w:rsidRDefault="00F57254" w:rsidP="00F57254">
      <w:pPr>
        <w:widowControl w:val="0"/>
        <w:autoSpaceDE w:val="0"/>
        <w:autoSpaceDN w:val="0"/>
        <w:adjustRightInd w:val="0"/>
        <w:ind w:firstLine="0"/>
        <w:jc w:val="both"/>
        <w:rPr>
          <w:rFonts w:ascii="Arial" w:hAnsi="Arial" w:cs="Arial"/>
          <w:sz w:val="24"/>
          <w:szCs w:val="24"/>
        </w:rPr>
      </w:pPr>
    </w:p>
    <w:p w:rsidR="00F57254" w:rsidRPr="00F57254" w:rsidRDefault="00F57254" w:rsidP="00F57254">
      <w:pPr>
        <w:widowControl w:val="0"/>
        <w:autoSpaceDE w:val="0"/>
        <w:autoSpaceDN w:val="0"/>
        <w:adjustRightInd w:val="0"/>
        <w:ind w:firstLine="0"/>
        <w:jc w:val="both"/>
        <w:rPr>
          <w:rFonts w:ascii="Arial" w:hAnsi="Arial" w:cs="Arial"/>
          <w:sz w:val="24"/>
          <w:szCs w:val="24"/>
        </w:rPr>
      </w:pPr>
    </w:p>
    <w:p w:rsidR="00F57254" w:rsidRPr="00F57254" w:rsidRDefault="00F57254" w:rsidP="00F57254">
      <w:pPr>
        <w:widowControl w:val="0"/>
        <w:autoSpaceDE w:val="0"/>
        <w:autoSpaceDN w:val="0"/>
        <w:adjustRightInd w:val="0"/>
        <w:ind w:firstLine="0"/>
        <w:jc w:val="both"/>
        <w:rPr>
          <w:rFonts w:ascii="Arial" w:hAnsi="Arial" w:cs="Arial"/>
          <w:sz w:val="24"/>
          <w:szCs w:val="24"/>
        </w:rPr>
      </w:pPr>
    </w:p>
    <w:p w:rsidR="00F57254" w:rsidRPr="00F57254" w:rsidRDefault="00F57254" w:rsidP="00F57254">
      <w:pPr>
        <w:widowControl w:val="0"/>
        <w:autoSpaceDE w:val="0"/>
        <w:autoSpaceDN w:val="0"/>
        <w:adjustRightInd w:val="0"/>
        <w:ind w:firstLine="0"/>
        <w:jc w:val="both"/>
        <w:rPr>
          <w:rFonts w:ascii="Arial" w:hAnsi="Arial" w:cs="Arial"/>
          <w:sz w:val="24"/>
          <w:szCs w:val="24"/>
        </w:rPr>
      </w:pPr>
      <w:r w:rsidRPr="00F57254">
        <w:rPr>
          <w:rFonts w:ascii="Arial" w:hAnsi="Arial" w:cs="Arial"/>
          <w:sz w:val="24"/>
          <w:szCs w:val="24"/>
        </w:rPr>
        <w:t>Глава Верхнекетского района</w:t>
      </w:r>
      <w:r w:rsidRPr="00F57254">
        <w:rPr>
          <w:rFonts w:ascii="Arial" w:hAnsi="Arial" w:cs="Arial"/>
          <w:sz w:val="24"/>
          <w:szCs w:val="24"/>
        </w:rPr>
        <w:tab/>
        <w:t xml:space="preserve">                        </w:t>
      </w:r>
      <w:r w:rsidRPr="00F57254">
        <w:rPr>
          <w:rFonts w:ascii="Arial" w:hAnsi="Arial" w:cs="Arial"/>
          <w:sz w:val="24"/>
          <w:szCs w:val="24"/>
        </w:rPr>
        <w:tab/>
        <w:t xml:space="preserve">          </w:t>
      </w:r>
      <w:r w:rsidRPr="00F57254">
        <w:rPr>
          <w:rFonts w:ascii="Arial" w:hAnsi="Arial" w:cs="Arial"/>
          <w:sz w:val="24"/>
          <w:szCs w:val="24"/>
        </w:rPr>
        <w:tab/>
        <w:t xml:space="preserve">                         С.А. Альсевич</w:t>
      </w:r>
    </w:p>
    <w:p w:rsidR="00F57254" w:rsidRPr="00F57254" w:rsidRDefault="00F57254" w:rsidP="00F57254">
      <w:pPr>
        <w:widowControl w:val="0"/>
        <w:autoSpaceDE w:val="0"/>
        <w:autoSpaceDN w:val="0"/>
        <w:adjustRightInd w:val="0"/>
        <w:ind w:firstLine="0"/>
        <w:jc w:val="both"/>
        <w:rPr>
          <w:rFonts w:ascii="Arial" w:hAnsi="Arial" w:cs="Arial"/>
          <w:sz w:val="24"/>
          <w:szCs w:val="24"/>
        </w:rPr>
      </w:pPr>
    </w:p>
    <w:p w:rsidR="00F57254" w:rsidRPr="00F57254" w:rsidRDefault="00F57254" w:rsidP="00F57254">
      <w:pPr>
        <w:widowControl w:val="0"/>
        <w:tabs>
          <w:tab w:val="left" w:pos="-2552"/>
          <w:tab w:val="left" w:pos="1843"/>
        </w:tabs>
        <w:ind w:firstLine="0"/>
        <w:jc w:val="both"/>
        <w:rPr>
          <w:rFonts w:ascii="Arial" w:hAnsi="Arial"/>
          <w:sz w:val="24"/>
          <w:szCs w:val="24"/>
        </w:rPr>
      </w:pPr>
    </w:p>
    <w:p w:rsidR="00F57254" w:rsidRPr="00F57254" w:rsidRDefault="00F57254" w:rsidP="00F57254">
      <w:pPr>
        <w:widowControl w:val="0"/>
        <w:ind w:firstLine="0"/>
        <w:rPr>
          <w:rFonts w:ascii="Arial" w:hAnsi="Arial"/>
          <w:sz w:val="20"/>
        </w:rPr>
      </w:pPr>
      <w:r w:rsidRPr="00F57254">
        <w:rPr>
          <w:rFonts w:ascii="Arial" w:hAnsi="Arial"/>
          <w:sz w:val="20"/>
        </w:rPr>
        <w:t>Мискичекова Н.А.</w:t>
      </w:r>
    </w:p>
    <w:p w:rsidR="00F57254" w:rsidRPr="00F57254" w:rsidRDefault="00F57254" w:rsidP="00F57254">
      <w:pPr>
        <w:widowControl w:val="0"/>
        <w:pBdr>
          <w:top w:val="single" w:sz="6" w:space="1" w:color="auto"/>
        </w:pBdr>
        <w:tabs>
          <w:tab w:val="left" w:pos="-2552"/>
          <w:tab w:val="left" w:pos="-2410"/>
        </w:tabs>
        <w:ind w:firstLine="0"/>
        <w:rPr>
          <w:rFonts w:ascii="Arial" w:hAnsi="Arial"/>
          <w:sz w:val="20"/>
          <w:szCs w:val="24"/>
        </w:rPr>
      </w:pPr>
      <w:r w:rsidRPr="00F57254">
        <w:rPr>
          <w:rFonts w:ascii="Arial" w:hAnsi="Arial"/>
          <w:sz w:val="20"/>
          <w:szCs w:val="24"/>
        </w:rPr>
        <w:t>Дело-2, ОСЭР-1, Сибиряков Д.В. – 1, УФ – 1, Дума Верхнекетского района – 1.</w:t>
      </w:r>
    </w:p>
    <w:p w:rsidR="00F57254" w:rsidRPr="00F57254" w:rsidRDefault="00F57254" w:rsidP="00F57254">
      <w:pPr>
        <w:widowControl w:val="0"/>
        <w:autoSpaceDE w:val="0"/>
        <w:autoSpaceDN w:val="0"/>
        <w:adjustRightInd w:val="0"/>
        <w:ind w:firstLine="0"/>
        <w:jc w:val="both"/>
        <w:rPr>
          <w:sz w:val="20"/>
        </w:rPr>
      </w:pPr>
    </w:p>
    <w:p w:rsidR="00F57254" w:rsidRPr="00F57254" w:rsidRDefault="00F57254" w:rsidP="00F57254">
      <w:pPr>
        <w:widowControl w:val="0"/>
        <w:autoSpaceDE w:val="0"/>
        <w:autoSpaceDN w:val="0"/>
        <w:adjustRightInd w:val="0"/>
        <w:ind w:firstLine="0"/>
        <w:jc w:val="center"/>
        <w:rPr>
          <w:rFonts w:ascii="Arial" w:hAnsi="Arial" w:cs="Arial"/>
          <w:sz w:val="20"/>
        </w:rPr>
      </w:pPr>
    </w:p>
    <w:p w:rsidR="00F57254" w:rsidRDefault="00F57254" w:rsidP="00F57254">
      <w:pPr>
        <w:widowControl w:val="0"/>
        <w:autoSpaceDE w:val="0"/>
        <w:autoSpaceDN w:val="0"/>
        <w:spacing w:line="276" w:lineRule="auto"/>
        <w:ind w:firstLine="0"/>
        <w:rPr>
          <w:rFonts w:ascii="Arial" w:hAnsi="Arial" w:cs="Arial"/>
          <w:b/>
          <w:sz w:val="24"/>
          <w:szCs w:val="24"/>
          <w:lang w:eastAsia="en-US"/>
        </w:rPr>
        <w:sectPr w:rsidR="00F57254" w:rsidSect="00BD32A8">
          <w:headerReference w:type="default" r:id="rId9"/>
          <w:headerReference w:type="first" r:id="rId10"/>
          <w:pgSz w:w="11906" w:h="16838"/>
          <w:pgMar w:top="1134" w:right="707" w:bottom="1134" w:left="1418" w:header="708" w:footer="266" w:gutter="0"/>
          <w:cols w:space="708"/>
          <w:titlePg/>
          <w:docGrid w:linePitch="360"/>
        </w:sectPr>
      </w:pPr>
    </w:p>
    <w:p w:rsidR="00F57254" w:rsidRPr="00F57254" w:rsidRDefault="00F57254" w:rsidP="00F57254">
      <w:pPr>
        <w:autoSpaceDE w:val="0"/>
        <w:autoSpaceDN w:val="0"/>
        <w:adjustRightInd w:val="0"/>
        <w:ind w:left="1100" w:right="25" w:firstLine="0"/>
        <w:jc w:val="right"/>
        <w:rPr>
          <w:rFonts w:ascii="Arial" w:hAnsi="Arial" w:cs="Arial"/>
          <w:bCs/>
          <w:sz w:val="24"/>
          <w:szCs w:val="24"/>
        </w:rPr>
      </w:pPr>
      <w:r w:rsidRPr="00F57254">
        <w:rPr>
          <w:rFonts w:ascii="Arial" w:hAnsi="Arial" w:cs="Arial"/>
          <w:bCs/>
          <w:sz w:val="24"/>
          <w:szCs w:val="24"/>
        </w:rPr>
        <w:lastRenderedPageBreak/>
        <w:t>Приложение к Прогнозу</w:t>
      </w:r>
    </w:p>
    <w:p w:rsidR="00F57254" w:rsidRPr="00F57254" w:rsidRDefault="00F57254" w:rsidP="00F57254">
      <w:pPr>
        <w:autoSpaceDE w:val="0"/>
        <w:autoSpaceDN w:val="0"/>
        <w:adjustRightInd w:val="0"/>
        <w:ind w:left="1100" w:right="25" w:firstLine="0"/>
        <w:jc w:val="right"/>
        <w:rPr>
          <w:rFonts w:ascii="Arial" w:hAnsi="Arial" w:cs="Arial"/>
          <w:bCs/>
          <w:sz w:val="24"/>
          <w:szCs w:val="24"/>
        </w:rPr>
      </w:pPr>
      <w:r w:rsidRPr="00F57254">
        <w:rPr>
          <w:rFonts w:ascii="Arial" w:hAnsi="Arial" w:cs="Arial"/>
          <w:bCs/>
          <w:sz w:val="24"/>
          <w:szCs w:val="24"/>
        </w:rPr>
        <w:t>социально-экономического развития</w:t>
      </w:r>
    </w:p>
    <w:p w:rsidR="00F57254" w:rsidRPr="00F57254" w:rsidRDefault="00F57254" w:rsidP="00F57254">
      <w:pPr>
        <w:autoSpaceDE w:val="0"/>
        <w:autoSpaceDN w:val="0"/>
        <w:adjustRightInd w:val="0"/>
        <w:ind w:left="1100" w:right="25" w:firstLine="0"/>
        <w:jc w:val="right"/>
        <w:rPr>
          <w:rFonts w:ascii="Arial" w:hAnsi="Arial" w:cs="Arial"/>
          <w:bCs/>
          <w:sz w:val="24"/>
          <w:szCs w:val="24"/>
        </w:rPr>
      </w:pPr>
      <w:r w:rsidRPr="00F57254">
        <w:rPr>
          <w:rFonts w:ascii="Arial" w:hAnsi="Arial" w:cs="Arial"/>
          <w:bCs/>
          <w:sz w:val="24"/>
          <w:szCs w:val="24"/>
        </w:rPr>
        <w:t>Верхнекетского района Томской области на 2022-2024 годы</w:t>
      </w:r>
    </w:p>
    <w:p w:rsidR="00F57254" w:rsidRPr="00F57254" w:rsidRDefault="00F57254" w:rsidP="00F57254">
      <w:pPr>
        <w:autoSpaceDE w:val="0"/>
        <w:autoSpaceDN w:val="0"/>
        <w:adjustRightInd w:val="0"/>
        <w:ind w:left="1100" w:right="1077" w:firstLine="0"/>
        <w:jc w:val="center"/>
        <w:rPr>
          <w:rFonts w:ascii="Arial" w:hAnsi="Arial" w:cs="Arial"/>
          <w:b/>
          <w:bCs/>
          <w:sz w:val="24"/>
          <w:szCs w:val="24"/>
        </w:rPr>
      </w:pPr>
    </w:p>
    <w:p w:rsidR="00F57254" w:rsidRPr="00F57254" w:rsidRDefault="00F57254" w:rsidP="00F57254">
      <w:pPr>
        <w:autoSpaceDE w:val="0"/>
        <w:autoSpaceDN w:val="0"/>
        <w:adjustRightInd w:val="0"/>
        <w:ind w:left="1100" w:right="1077" w:firstLine="0"/>
        <w:jc w:val="center"/>
        <w:rPr>
          <w:rFonts w:ascii="Arial" w:hAnsi="Arial" w:cs="Arial"/>
          <w:b/>
          <w:bCs/>
          <w:sz w:val="24"/>
          <w:szCs w:val="24"/>
        </w:rPr>
      </w:pPr>
      <w:r w:rsidRPr="00F57254">
        <w:rPr>
          <w:rFonts w:ascii="Arial" w:hAnsi="Arial" w:cs="Arial"/>
          <w:b/>
          <w:bCs/>
          <w:sz w:val="24"/>
          <w:szCs w:val="24"/>
        </w:rPr>
        <w:t>Пояснительная записка к Прогнозу социально-экономического развития Верхнекетского района Томской области на 2022-2024 годы</w:t>
      </w:r>
    </w:p>
    <w:p w:rsidR="00F57254" w:rsidRPr="00F57254" w:rsidRDefault="00F57254" w:rsidP="00F57254">
      <w:pPr>
        <w:autoSpaceDE w:val="0"/>
        <w:autoSpaceDN w:val="0"/>
        <w:adjustRightInd w:val="0"/>
        <w:ind w:left="1100" w:right="1077" w:firstLine="0"/>
        <w:jc w:val="center"/>
        <w:rPr>
          <w:rFonts w:ascii="Arial" w:hAnsi="Arial" w:cs="Arial"/>
          <w:b/>
          <w:bCs/>
          <w:sz w:val="24"/>
          <w:szCs w:val="24"/>
        </w:rPr>
      </w:pPr>
    </w:p>
    <w:p w:rsidR="00F57254" w:rsidRPr="00F57254" w:rsidRDefault="00F57254" w:rsidP="00F57254">
      <w:pPr>
        <w:widowControl w:val="0"/>
        <w:autoSpaceDE w:val="0"/>
        <w:autoSpaceDN w:val="0"/>
        <w:adjustRightInd w:val="0"/>
        <w:ind w:firstLine="567"/>
        <w:jc w:val="both"/>
        <w:rPr>
          <w:rFonts w:ascii="Arial" w:hAnsi="Arial" w:cs="Arial"/>
          <w:sz w:val="24"/>
          <w:szCs w:val="24"/>
        </w:rPr>
      </w:pPr>
      <w:r w:rsidRPr="00F57254">
        <w:rPr>
          <w:rFonts w:ascii="Arial" w:hAnsi="Arial" w:cs="Arial"/>
          <w:sz w:val="24"/>
          <w:szCs w:val="24"/>
        </w:rPr>
        <w:t>Прогноз социально-экономического развития Верхнекетского района Томской области разработан в соответствии с Бюджетным законодательством, методическими рекомендациями, а также с учетом итогов социально-экономического развития района в первом полугодии 2021 года,   и тенденций развития экономики и социальной сферы на период до 2024 года.</w:t>
      </w:r>
    </w:p>
    <w:p w:rsidR="00F57254" w:rsidRPr="00F57254" w:rsidRDefault="00F57254" w:rsidP="00F57254">
      <w:pPr>
        <w:widowControl w:val="0"/>
        <w:autoSpaceDE w:val="0"/>
        <w:autoSpaceDN w:val="0"/>
        <w:adjustRightInd w:val="0"/>
        <w:ind w:firstLine="567"/>
        <w:jc w:val="both"/>
        <w:rPr>
          <w:rFonts w:ascii="Arial" w:hAnsi="Arial" w:cs="Arial"/>
          <w:sz w:val="24"/>
          <w:szCs w:val="24"/>
        </w:rPr>
      </w:pPr>
      <w:r w:rsidRPr="00F57254">
        <w:rPr>
          <w:rFonts w:ascii="Arial" w:hAnsi="Arial" w:cs="Arial"/>
          <w:sz w:val="24"/>
          <w:szCs w:val="24"/>
        </w:rPr>
        <w:t>В декабре 2015 года решением Думы Верхнекетского утверждена Стратегия социально-экономического развития  Верхнекетского  района до 2030 года (далее – Стратегия), целью которой является создание условий для  повышения уровня  жизни жителей Верхнекетского района на основе устойчивого социально-экономического развития. В настоящее время ведётся её актуализация.</w:t>
      </w:r>
    </w:p>
    <w:p w:rsidR="00F57254" w:rsidRPr="00F57254" w:rsidRDefault="00F57254" w:rsidP="00F57254">
      <w:pPr>
        <w:widowControl w:val="0"/>
        <w:autoSpaceDE w:val="0"/>
        <w:autoSpaceDN w:val="0"/>
        <w:adjustRightInd w:val="0"/>
        <w:ind w:firstLine="567"/>
        <w:jc w:val="both"/>
        <w:rPr>
          <w:rFonts w:ascii="Arial" w:hAnsi="Arial" w:cs="Arial"/>
          <w:sz w:val="24"/>
          <w:szCs w:val="24"/>
        </w:rPr>
      </w:pPr>
      <w:r w:rsidRPr="00F57254">
        <w:rPr>
          <w:rFonts w:ascii="Arial" w:hAnsi="Arial" w:cs="Arial"/>
          <w:sz w:val="24"/>
          <w:szCs w:val="24"/>
        </w:rPr>
        <w:t>В Стратегии сформированы четыре приоритета и направления развития Верхнекетского района, укрепляющие его конкурентные позиции, использующие появившиеся благоприятные возможности, сглаживающие воздействие негативных факторов развития территории.</w:t>
      </w:r>
    </w:p>
    <w:p w:rsidR="00F57254" w:rsidRPr="00F57254" w:rsidRDefault="00F57254" w:rsidP="00F57254">
      <w:pPr>
        <w:widowControl w:val="0"/>
        <w:autoSpaceDE w:val="0"/>
        <w:autoSpaceDN w:val="0"/>
        <w:adjustRightInd w:val="0"/>
        <w:ind w:firstLine="567"/>
        <w:jc w:val="both"/>
        <w:rPr>
          <w:rFonts w:ascii="Arial" w:hAnsi="Arial" w:cs="Arial"/>
          <w:sz w:val="24"/>
          <w:szCs w:val="24"/>
        </w:rPr>
      </w:pPr>
      <w:r w:rsidRPr="00F57254">
        <w:rPr>
          <w:rFonts w:ascii="Arial" w:hAnsi="Arial" w:cs="Arial"/>
          <w:sz w:val="24"/>
          <w:szCs w:val="24"/>
        </w:rPr>
        <w:t>Достижение  целей  позволит максимально  повысить эффективность социальной сферы, иметь устойчивую экономику, снизить уровень дотационности бюджета района, обеспечить надежную и качественную инфраструктуру жизнеобеспечения всех групп населения, придать району привлекательный имидж для сохранения и привлечения жителей, инвесторов,  что станет основой для качественного роста уровня жизни населения муниципального образования Верхнекетский район Томской области.</w:t>
      </w:r>
    </w:p>
    <w:p w:rsidR="00F57254" w:rsidRPr="00F57254" w:rsidRDefault="00F57254" w:rsidP="00F57254">
      <w:pPr>
        <w:widowControl w:val="0"/>
        <w:autoSpaceDE w:val="0"/>
        <w:autoSpaceDN w:val="0"/>
        <w:adjustRightInd w:val="0"/>
        <w:ind w:firstLine="567"/>
        <w:jc w:val="both"/>
        <w:rPr>
          <w:rFonts w:ascii="Arial" w:hAnsi="Arial" w:cs="Arial"/>
          <w:sz w:val="24"/>
          <w:szCs w:val="24"/>
        </w:rPr>
      </w:pPr>
    </w:p>
    <w:p w:rsidR="00F57254" w:rsidRPr="00F57254" w:rsidRDefault="00F57254" w:rsidP="00F57254">
      <w:pPr>
        <w:autoSpaceDE w:val="0"/>
        <w:autoSpaceDN w:val="0"/>
        <w:adjustRightInd w:val="0"/>
        <w:ind w:firstLine="567"/>
        <w:jc w:val="center"/>
        <w:rPr>
          <w:rFonts w:ascii="Arial" w:hAnsi="Arial" w:cs="Arial"/>
          <w:b/>
          <w:bCs/>
          <w:sz w:val="24"/>
          <w:szCs w:val="24"/>
        </w:rPr>
      </w:pPr>
      <w:r w:rsidRPr="00F57254">
        <w:rPr>
          <w:rFonts w:ascii="Arial" w:hAnsi="Arial" w:cs="Arial"/>
          <w:b/>
          <w:bCs/>
          <w:sz w:val="24"/>
          <w:szCs w:val="24"/>
        </w:rPr>
        <w:t>Общая характеристика муниципального образования</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Муниципальное образование Верхнекетский район Томской области расположено в северо-восточной части Томской области. Площадь территории 43,3 тыс.кв.м.</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В состав муниципального образования входят одно городское и восемь сельских поселений (17 сельских населенных пунктов и 1 поселок городского типа). Численность постоянного населения составляет 15,7 тыс. человек.</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На 01 января 2021 года хозяйственную деятельность на территории района осуществляют 165 предприятий (104,4% к прошлому году) и 277 индивидуальных предпринимателей (снижение на 8,6%).</w:t>
      </w:r>
      <w:r w:rsidRPr="00F57254">
        <w:rPr>
          <w:sz w:val="24"/>
          <w:szCs w:val="24"/>
        </w:rPr>
        <w:t xml:space="preserve"> </w:t>
      </w:r>
      <w:r w:rsidRPr="00F57254">
        <w:rPr>
          <w:rFonts w:ascii="Arial" w:hAnsi="Arial" w:cs="Arial"/>
          <w:sz w:val="24"/>
          <w:szCs w:val="24"/>
        </w:rPr>
        <w:t>Анализ причин сокращения хозяйствующих субъектов выявил, что происходит закрытие ИП, фактически не осуществляющих деятельность, исключение ЮЛ из ЕГРЮЛ по решению регистрирующего органа, как фактически прекративших свою деятельность, а также принятие решения самими предпринимателями о прекращения деятельности.</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В 2020 году с введением «Налога на профессиональный доход» зарегистрировано 82 самозанятых.</w:t>
      </w:r>
    </w:p>
    <w:p w:rsidR="00F57254" w:rsidRPr="00F57254" w:rsidRDefault="00F57254" w:rsidP="00F57254">
      <w:pPr>
        <w:autoSpaceDE w:val="0"/>
        <w:autoSpaceDN w:val="0"/>
        <w:adjustRightInd w:val="0"/>
        <w:ind w:firstLine="0"/>
        <w:jc w:val="both"/>
        <w:rPr>
          <w:rFonts w:ascii="Arial" w:hAnsi="Arial" w:cs="Arial"/>
          <w:sz w:val="24"/>
          <w:szCs w:val="24"/>
        </w:rPr>
      </w:pPr>
    </w:p>
    <w:p w:rsidR="00F57254" w:rsidRPr="00F57254" w:rsidRDefault="00F57254" w:rsidP="00F57254">
      <w:pPr>
        <w:widowControl w:val="0"/>
        <w:autoSpaceDE w:val="0"/>
        <w:autoSpaceDN w:val="0"/>
        <w:adjustRightInd w:val="0"/>
        <w:jc w:val="center"/>
        <w:rPr>
          <w:rFonts w:ascii="Arial" w:hAnsi="Arial" w:cs="Arial"/>
          <w:b/>
          <w:bCs/>
          <w:sz w:val="24"/>
          <w:szCs w:val="24"/>
        </w:rPr>
      </w:pPr>
      <w:r w:rsidRPr="00F57254">
        <w:rPr>
          <w:rFonts w:ascii="Arial" w:hAnsi="Arial" w:cs="Arial"/>
          <w:b/>
          <w:bCs/>
          <w:sz w:val="24"/>
          <w:szCs w:val="24"/>
        </w:rPr>
        <w:t>Промышленное производство</w:t>
      </w:r>
    </w:p>
    <w:p w:rsidR="00F57254" w:rsidRPr="00F57254" w:rsidRDefault="00F57254" w:rsidP="00F57254">
      <w:pPr>
        <w:widowControl w:val="0"/>
        <w:autoSpaceDE w:val="0"/>
        <w:autoSpaceDN w:val="0"/>
        <w:adjustRightInd w:val="0"/>
        <w:jc w:val="center"/>
        <w:rPr>
          <w:rFonts w:ascii="Arial" w:hAnsi="Arial" w:cs="Arial"/>
          <w:b/>
          <w:bCs/>
          <w:sz w:val="24"/>
          <w:szCs w:val="24"/>
        </w:rPr>
      </w:pPr>
    </w:p>
    <w:p w:rsidR="00F57254" w:rsidRPr="00F57254" w:rsidRDefault="00F57254" w:rsidP="00F57254">
      <w:pPr>
        <w:widowControl w:val="0"/>
        <w:autoSpaceDE w:val="0"/>
        <w:autoSpaceDN w:val="0"/>
        <w:adjustRightInd w:val="0"/>
        <w:ind w:firstLine="567"/>
        <w:jc w:val="both"/>
        <w:rPr>
          <w:rFonts w:ascii="Arial" w:hAnsi="Arial" w:cs="Arial"/>
          <w:sz w:val="24"/>
          <w:szCs w:val="24"/>
        </w:rPr>
      </w:pPr>
      <w:r w:rsidRPr="00F57254">
        <w:rPr>
          <w:rFonts w:ascii="Arial" w:hAnsi="Arial" w:cs="Arial"/>
          <w:sz w:val="24"/>
          <w:szCs w:val="24"/>
        </w:rPr>
        <w:t xml:space="preserve">Основными видами производства на территории района являются производство древесины и пиломатериалов, производство электрической и тепловой энергии, водоснабжение и водоотведение, производство пищевых продуктов (изготовление </w:t>
      </w:r>
      <w:r w:rsidRPr="00F57254">
        <w:rPr>
          <w:rFonts w:ascii="Arial" w:hAnsi="Arial" w:cs="Arial"/>
          <w:sz w:val="24"/>
          <w:szCs w:val="24"/>
        </w:rPr>
        <w:lastRenderedPageBreak/>
        <w:t xml:space="preserve">хлеба и хлебобулочных изделий). </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 xml:space="preserve">Практически все субъекты производственной отрасли относятся к малому и среднему бизнесу и статистическую отчетность по статистической форме №П1 не предоставляют. В связи с этим опубликованные статистические сведения не отражают полной картины производства района. </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 xml:space="preserve">По данным ведомственной статистики Администрации Верхнекетского района лесопромышленной отраслью района за 2020 год заготовлено и вывезено 842,8 тыс.м3 древесины (124,8 % к показателю 2019 года), произведено 282,5 тыс.м3 пиломатериалов (122,9 % к показателю 2019 года). </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Расчет показателя «Объем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 в перспективе на 2022-2024 гг. произведен исходя из прогнозных объемов производства пиломатериалов с учетом индекс-дефляторов на соответствующие периоды.</w:t>
      </w:r>
    </w:p>
    <w:p w:rsidR="00F57254" w:rsidRPr="00F57254" w:rsidRDefault="00F57254" w:rsidP="00F57254">
      <w:pPr>
        <w:ind w:firstLine="567"/>
        <w:jc w:val="both"/>
        <w:textAlignment w:val="baseline"/>
        <w:rPr>
          <w:rFonts w:ascii="Arial" w:hAnsi="Arial" w:cs="Arial"/>
          <w:sz w:val="24"/>
          <w:szCs w:val="24"/>
        </w:rPr>
      </w:pPr>
      <w:r w:rsidRPr="00F57254">
        <w:rPr>
          <w:rFonts w:ascii="Arial" w:hAnsi="Arial" w:cs="Arial"/>
          <w:sz w:val="24"/>
          <w:szCs w:val="24"/>
        </w:rPr>
        <w:t>В Стратегии запланировано в 2016-2018 гг. строительство завода лесопиления. Проект не был реализован. В прогноз заложено увеличение объема заготовок без учета запуска завода. Объем заготовок спрогнозирован с перспективой максимального использования арендованного лесного фонда</w:t>
      </w:r>
      <w:r w:rsidRPr="00F57254">
        <w:rPr>
          <w:rFonts w:ascii="Arial" w:hAnsi="Arial" w:cs="Arial"/>
          <w:sz w:val="24"/>
          <w:szCs w:val="24"/>
          <w:highlight w:val="yellow"/>
        </w:rPr>
        <w:t>.</w:t>
      </w:r>
    </w:p>
    <w:p w:rsidR="00F57254" w:rsidRPr="00F57254" w:rsidRDefault="00F57254" w:rsidP="00F57254">
      <w:pPr>
        <w:ind w:firstLine="567"/>
        <w:jc w:val="both"/>
        <w:textAlignment w:val="baseline"/>
        <w:rPr>
          <w:rFonts w:ascii="Arial" w:hAnsi="Arial" w:cs="Arial"/>
          <w:sz w:val="24"/>
          <w:szCs w:val="24"/>
        </w:rPr>
      </w:pPr>
      <w:r w:rsidRPr="00F57254">
        <w:rPr>
          <w:rFonts w:ascii="Arial" w:hAnsi="Arial" w:cs="Arial"/>
          <w:sz w:val="24"/>
          <w:szCs w:val="24"/>
        </w:rPr>
        <w:t>В связи с допущенной ошибкой по строке «Объем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 откорректированы данные за 2019 год. Расчет данного показателя произведен исходя из объемов заготовки древесины за 2019 год (408 тыс.кубм) не относящийся к ОКВЭД Код 16 - Обработка древесины и производство изделий из дерева и пробки, кроме мебели, производство изделий из соломки и материалов для плетения. Уточненные данные рассчитаны исходя из объемов производства пиломатериалов (229,9 тыс.кубм).</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 xml:space="preserve">По состоянию на 01.01.2021 года на территории района осуществляли деятельность 11 предприятий коммунального комплекса, основным видом деятельности которых является предоставление жилищно-коммунальных услуг, в том числе 5 муниципальных (МУП «Степановское», МУП «Лисица», МУП «Катайгинское», МУП «Верхнекетский водоканал», МУП «БИО ТЭП», 6 организаций частной формы собственности). </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 xml:space="preserve">Объем отгруженных товаров собственного производства, выполненных работ и услуг собственными силами по разделу «Обеспечение электрической энергией, газом и паром; кондиционирование воздуха» спрогнозирован в трех вариантах с учетом особенностей развития территории, изменения численного состава в перспективе. Обеспечение электроэнергией силами собственного производства осуществляется в сельских поселениях. В городском поселении обеспечивается тепловая энергия, вырабатываемся собственными силами, электроэнергия – предоставляется поставщиком. В консервативном, базовом и целевом вариантах с учетом миграции населения из сельских поселений в городское, а также улучшения качества жизни населения, наблюдается  увеличение объемов потребления электроэнергии, тепла. Одновременно прослеживается снижение объема тепловой энергии за счет установления приборов учёта в МКД на тепловую энергию. </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 xml:space="preserve">Объем отгруженных товаров собственного производства, выполненных работ и услуг собственными силами по разделу «Водоснабжение; водоотведение, организация сбора и утилизации отходов, деятельность по ликвидации загрязнений» обеспечивается стабильный, хоть и не большой прирост за счет увеличения потребителей как среди населения (вследствие миграции, улучшения качества жизни </w:t>
      </w:r>
      <w:r w:rsidRPr="00F57254">
        <w:rPr>
          <w:rFonts w:ascii="Arial" w:hAnsi="Arial" w:cs="Arial"/>
          <w:sz w:val="24"/>
          <w:szCs w:val="24"/>
        </w:rPr>
        <w:lastRenderedPageBreak/>
        <w:t>населения, увеличения дохода населения), так и среди действующих и открывающихся предприятий.</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Все предприятий пищевой отрасли района относят к мелким микропредприятиям и статистическую отчетность по форме №П1 не предоставляют, в связи с чем  представить в прогнозе объем отгруженных товаров собственного производства «Производство пищевых продуктов» не представляется возможным. Значительный вклад в производство хлеба, хлебобулочных и кондитерских изделий в 2020 году внесли предприятия: ООО «Житня», ИП Жалилов А.М., ИП Карелин В.С. По ведомственной статистике Администрации Верхнекетского района в 2020 году производителями пищевых продуктов произведено 494,9 471,5 тонна  хлеба, хлебобулочных и кондитерских изделий, что на 5% больше показателя прошлого года. Перевести показатель в денежный эквивалент на основании ведомственных данных с целью дальнейшего анализа не представляется возможным.</w:t>
      </w:r>
    </w:p>
    <w:p w:rsidR="00F57254" w:rsidRPr="00F57254" w:rsidRDefault="00F57254" w:rsidP="00F57254">
      <w:pPr>
        <w:widowControl w:val="0"/>
        <w:autoSpaceDE w:val="0"/>
        <w:autoSpaceDN w:val="0"/>
        <w:adjustRightInd w:val="0"/>
        <w:ind w:firstLine="567"/>
        <w:jc w:val="both"/>
        <w:rPr>
          <w:rFonts w:ascii="Arial" w:hAnsi="Arial" w:cs="Arial"/>
          <w:sz w:val="24"/>
          <w:szCs w:val="24"/>
        </w:rPr>
      </w:pPr>
      <w:r w:rsidRPr="00F57254">
        <w:rPr>
          <w:rFonts w:ascii="Arial" w:hAnsi="Arial" w:cs="Arial"/>
          <w:sz w:val="24"/>
          <w:szCs w:val="24"/>
        </w:rPr>
        <w:t>Оборот организаций по кругу крупных и средних предприятий в 2020 году составил 1143,7 млн. руб., что на 11% выше показателя 2019 года.</w:t>
      </w:r>
    </w:p>
    <w:p w:rsidR="00F57254" w:rsidRPr="00F57254" w:rsidRDefault="00F57254" w:rsidP="00F57254">
      <w:pPr>
        <w:widowControl w:val="0"/>
        <w:autoSpaceDE w:val="0"/>
        <w:autoSpaceDN w:val="0"/>
        <w:adjustRightInd w:val="0"/>
        <w:ind w:firstLine="567"/>
        <w:jc w:val="both"/>
        <w:rPr>
          <w:rFonts w:ascii="Arial" w:hAnsi="Arial" w:cs="Arial"/>
          <w:sz w:val="24"/>
          <w:szCs w:val="24"/>
        </w:rPr>
      </w:pPr>
    </w:p>
    <w:p w:rsidR="00F57254" w:rsidRPr="00F57254" w:rsidRDefault="00F57254" w:rsidP="00F57254">
      <w:pPr>
        <w:ind w:firstLine="567"/>
        <w:jc w:val="center"/>
        <w:textAlignment w:val="baseline"/>
        <w:rPr>
          <w:rFonts w:ascii="Arial" w:hAnsi="Arial" w:cs="Arial"/>
          <w:b/>
          <w:bCs/>
          <w:sz w:val="24"/>
          <w:szCs w:val="24"/>
        </w:rPr>
      </w:pPr>
      <w:r w:rsidRPr="00F57254">
        <w:rPr>
          <w:rFonts w:ascii="Arial" w:hAnsi="Arial" w:cs="Arial"/>
          <w:b/>
          <w:bCs/>
          <w:sz w:val="24"/>
          <w:szCs w:val="24"/>
        </w:rPr>
        <w:t>Сельское хозяйство</w:t>
      </w:r>
    </w:p>
    <w:p w:rsidR="00F57254" w:rsidRPr="00F57254" w:rsidRDefault="00F57254" w:rsidP="00F57254">
      <w:pPr>
        <w:ind w:firstLine="567"/>
        <w:jc w:val="center"/>
        <w:textAlignment w:val="baseline"/>
        <w:rPr>
          <w:rFonts w:ascii="Arial" w:hAnsi="Arial" w:cs="Arial"/>
          <w:b/>
          <w:bCs/>
          <w:sz w:val="24"/>
          <w:szCs w:val="24"/>
        </w:rPr>
      </w:pPr>
    </w:p>
    <w:p w:rsidR="00F57254" w:rsidRPr="00F57254" w:rsidRDefault="00F57254" w:rsidP="00F57254">
      <w:pPr>
        <w:widowControl w:val="0"/>
        <w:autoSpaceDE w:val="0"/>
        <w:autoSpaceDN w:val="0"/>
        <w:adjustRightInd w:val="0"/>
        <w:ind w:firstLine="708"/>
        <w:jc w:val="both"/>
        <w:rPr>
          <w:rFonts w:ascii="Arial" w:hAnsi="Arial" w:cs="Arial"/>
          <w:sz w:val="24"/>
          <w:szCs w:val="24"/>
        </w:rPr>
      </w:pPr>
      <w:r w:rsidRPr="00F57254">
        <w:rPr>
          <w:rFonts w:ascii="Arial" w:hAnsi="Arial" w:cs="Arial"/>
          <w:sz w:val="24"/>
          <w:szCs w:val="24"/>
        </w:rPr>
        <w:t>Малые формы хозяйствования (МФХ), представленные личными подсобными (ЛПХ) и небольшими крестьянскими (фермерскими) (КФХ) хозяйствами составляют аграрный сектор Верхнекетского района.</w:t>
      </w:r>
    </w:p>
    <w:p w:rsidR="00F57254" w:rsidRPr="00F57254" w:rsidRDefault="00F57254" w:rsidP="00F57254">
      <w:pPr>
        <w:widowControl w:val="0"/>
        <w:autoSpaceDE w:val="0"/>
        <w:autoSpaceDN w:val="0"/>
        <w:adjustRightInd w:val="0"/>
        <w:ind w:firstLine="708"/>
        <w:jc w:val="both"/>
        <w:rPr>
          <w:rFonts w:ascii="Arial" w:hAnsi="Arial" w:cs="Arial"/>
          <w:sz w:val="24"/>
          <w:szCs w:val="24"/>
        </w:rPr>
      </w:pPr>
      <w:r w:rsidRPr="00F57254">
        <w:rPr>
          <w:rFonts w:ascii="Arial" w:hAnsi="Arial" w:cs="Arial"/>
          <w:sz w:val="24"/>
          <w:szCs w:val="24"/>
        </w:rPr>
        <w:t xml:space="preserve">На 01.01.2021 года в малых формах хозяйствования в агропромышленном секторе Верхнекетского района содержится 822 головы крупного рогатого скота, в том числе 359 коров. В районе насчитывается 507 личных подсобных хозяйств, в которых содержат сельскохозяйственных животных и птицу. </w:t>
      </w:r>
    </w:p>
    <w:p w:rsidR="00F57254" w:rsidRPr="00F57254" w:rsidRDefault="00F57254" w:rsidP="00F57254">
      <w:pPr>
        <w:widowControl w:val="0"/>
        <w:autoSpaceDE w:val="0"/>
        <w:autoSpaceDN w:val="0"/>
        <w:adjustRightInd w:val="0"/>
        <w:ind w:firstLine="708"/>
        <w:jc w:val="both"/>
        <w:rPr>
          <w:rFonts w:ascii="Arial" w:hAnsi="Arial" w:cs="Arial"/>
          <w:sz w:val="24"/>
          <w:szCs w:val="24"/>
        </w:rPr>
      </w:pPr>
      <w:r w:rsidRPr="00F57254">
        <w:rPr>
          <w:rFonts w:ascii="Arial" w:hAnsi="Arial" w:cs="Arial"/>
          <w:sz w:val="24"/>
          <w:szCs w:val="24"/>
        </w:rPr>
        <w:t>Действует 5 крестьянских (фермерских) хозяйств. Поголовье крупного рогатого скота в хозяйствах составило 54 головы, из них 29 коров.</w:t>
      </w:r>
    </w:p>
    <w:p w:rsidR="00F57254" w:rsidRPr="00F57254" w:rsidRDefault="00F57254" w:rsidP="00F57254">
      <w:pPr>
        <w:widowControl w:val="0"/>
        <w:autoSpaceDE w:val="0"/>
        <w:autoSpaceDN w:val="0"/>
        <w:adjustRightInd w:val="0"/>
        <w:ind w:firstLine="708"/>
        <w:jc w:val="both"/>
        <w:rPr>
          <w:rFonts w:ascii="Arial" w:hAnsi="Arial" w:cs="Arial"/>
          <w:sz w:val="24"/>
          <w:szCs w:val="24"/>
        </w:rPr>
      </w:pPr>
      <w:r w:rsidRPr="00F57254">
        <w:rPr>
          <w:rFonts w:ascii="Arial" w:hAnsi="Arial" w:cs="Arial"/>
          <w:sz w:val="24"/>
          <w:szCs w:val="24"/>
        </w:rPr>
        <w:t>На ближайший период, вероятнее всего, сохранится тенденция к сохранению поголовья сельскохозяйственных животных в районе, в первую очередь за счет укрупнения фермерских хозяйств, содержащих крупный рогатый скот, и увеличения поголовья птицы и свиней в личных подсобных хозяйствах.  На смену личным подсобным хозяйствам при разведении крупного рогатого скота постепенно будут приходить более специализированные семейные мини-фермы, в которых будут разводить скот мясо – молочного направления.</w:t>
      </w:r>
    </w:p>
    <w:p w:rsidR="00F57254" w:rsidRPr="00F57254" w:rsidRDefault="00F57254" w:rsidP="00F57254">
      <w:pPr>
        <w:widowControl w:val="0"/>
        <w:autoSpaceDE w:val="0"/>
        <w:autoSpaceDN w:val="0"/>
        <w:adjustRightInd w:val="0"/>
        <w:ind w:firstLine="708"/>
        <w:jc w:val="both"/>
        <w:rPr>
          <w:rFonts w:ascii="Arial" w:hAnsi="Arial" w:cs="Arial"/>
          <w:sz w:val="24"/>
          <w:szCs w:val="24"/>
        </w:rPr>
      </w:pPr>
      <w:r w:rsidRPr="00F57254">
        <w:rPr>
          <w:rFonts w:ascii="Arial" w:hAnsi="Arial" w:cs="Arial"/>
          <w:sz w:val="24"/>
          <w:szCs w:val="24"/>
        </w:rPr>
        <w:t xml:space="preserve">Общая площадь посевных площадей, занятых картофелем и другими овощами в районе, составляет 195 га. Размер площади насаждений был уменьшен по результатам сельскохозяйственной переписи 2016 года более чем в два раза (ранее органами статистики предоставлялась информация о наличии 450,9 га посевных площадей под урожай). Промышленные посадки в районе не производятся, используемые земли составляют земельные участки, принадлежащие, либо арендуемые владельцами личных подсобных хозяйств. В связи с ежегодной убылью населения, площадь, занятая сельскохозяйственными культурами, снижается на 0,5-1%, что в целом сказывается на снижении количества производимой продукции растениеводства. А в связи с корректировкой занятых культурами площадей, объем произведенной продукции растениеводства и в целом сельскохозяйственной продукции, вычисляемой в зависимости от посевных площадей, по сравнению с данными, приводимыми за 2018 и 2019 годы, уменьшился более чем на треть. </w:t>
      </w:r>
    </w:p>
    <w:p w:rsidR="00F57254" w:rsidRPr="00F57254" w:rsidRDefault="00F57254" w:rsidP="00F57254">
      <w:pPr>
        <w:widowControl w:val="0"/>
        <w:autoSpaceDE w:val="0"/>
        <w:autoSpaceDN w:val="0"/>
        <w:adjustRightInd w:val="0"/>
        <w:ind w:firstLine="708"/>
        <w:jc w:val="both"/>
        <w:rPr>
          <w:rFonts w:ascii="Arial" w:hAnsi="Arial" w:cs="Arial"/>
          <w:sz w:val="24"/>
          <w:szCs w:val="24"/>
        </w:rPr>
      </w:pPr>
      <w:r w:rsidRPr="00F57254">
        <w:rPr>
          <w:rFonts w:ascii="Arial" w:hAnsi="Arial" w:cs="Arial"/>
          <w:sz w:val="24"/>
          <w:szCs w:val="24"/>
        </w:rPr>
        <w:t>В целом объем сельскохозяйственной продукции, производимой в районе, будет либо стабильным (с небольшим увеличением не более 0,1%), либо, при неблагоприятном прогнозе, снижаться до 1% в год) в связи со старением населения и оттоком молодых граждан.</w:t>
      </w:r>
    </w:p>
    <w:p w:rsidR="00F57254" w:rsidRPr="00F57254" w:rsidRDefault="00F57254" w:rsidP="00F57254">
      <w:pPr>
        <w:widowControl w:val="0"/>
        <w:autoSpaceDE w:val="0"/>
        <w:autoSpaceDN w:val="0"/>
        <w:adjustRightInd w:val="0"/>
        <w:ind w:firstLine="708"/>
        <w:jc w:val="both"/>
        <w:rPr>
          <w:rFonts w:ascii="Arial" w:hAnsi="Arial" w:cs="Arial"/>
          <w:sz w:val="24"/>
          <w:szCs w:val="24"/>
        </w:rPr>
      </w:pPr>
      <w:r w:rsidRPr="00F57254">
        <w:rPr>
          <w:rFonts w:ascii="Arial" w:hAnsi="Arial" w:cs="Arial"/>
          <w:sz w:val="24"/>
          <w:szCs w:val="24"/>
        </w:rPr>
        <w:t xml:space="preserve">По показателю «Мясо и субпродукты пищевые убойных животных» по данным </w:t>
      </w:r>
      <w:r w:rsidRPr="00F57254">
        <w:rPr>
          <w:rFonts w:ascii="Arial" w:hAnsi="Arial" w:cs="Arial"/>
          <w:sz w:val="24"/>
          <w:szCs w:val="24"/>
        </w:rPr>
        <w:lastRenderedPageBreak/>
        <w:t>статистики за 2019 год равен 0. В прогнозе социально-экономического развития Верхнекетского района Томской области на 2021-2023 годы данные по указанному показателю отражены ошибочно.</w:t>
      </w:r>
    </w:p>
    <w:p w:rsidR="00F57254" w:rsidRPr="00F57254" w:rsidRDefault="00F57254" w:rsidP="00F57254">
      <w:pPr>
        <w:widowControl w:val="0"/>
        <w:autoSpaceDE w:val="0"/>
        <w:autoSpaceDN w:val="0"/>
        <w:adjustRightInd w:val="0"/>
        <w:ind w:firstLine="708"/>
        <w:jc w:val="both"/>
        <w:rPr>
          <w:rFonts w:ascii="Arial" w:hAnsi="Arial" w:cs="Arial"/>
          <w:sz w:val="24"/>
          <w:szCs w:val="24"/>
        </w:rPr>
      </w:pPr>
    </w:p>
    <w:p w:rsidR="00F57254" w:rsidRPr="00F57254" w:rsidRDefault="00F57254" w:rsidP="00F57254">
      <w:pPr>
        <w:widowControl w:val="0"/>
        <w:autoSpaceDE w:val="0"/>
        <w:autoSpaceDN w:val="0"/>
        <w:adjustRightInd w:val="0"/>
        <w:jc w:val="center"/>
        <w:rPr>
          <w:rFonts w:ascii="Arial" w:hAnsi="Arial" w:cs="Arial"/>
          <w:b/>
          <w:bCs/>
          <w:sz w:val="24"/>
          <w:szCs w:val="24"/>
        </w:rPr>
      </w:pPr>
      <w:r w:rsidRPr="00F57254">
        <w:rPr>
          <w:rFonts w:ascii="Arial" w:hAnsi="Arial" w:cs="Arial"/>
          <w:b/>
          <w:bCs/>
          <w:sz w:val="24"/>
          <w:szCs w:val="24"/>
        </w:rPr>
        <w:t>Транспорт</w:t>
      </w:r>
    </w:p>
    <w:p w:rsidR="00F57254" w:rsidRPr="00F57254" w:rsidRDefault="00F57254" w:rsidP="00F57254">
      <w:pPr>
        <w:widowControl w:val="0"/>
        <w:tabs>
          <w:tab w:val="left" w:pos="-2552"/>
        </w:tabs>
        <w:ind w:firstLine="567"/>
        <w:jc w:val="both"/>
        <w:rPr>
          <w:rFonts w:ascii="Arial" w:hAnsi="Arial" w:cs="Arial"/>
          <w:sz w:val="24"/>
          <w:szCs w:val="24"/>
        </w:rPr>
      </w:pPr>
      <w:r w:rsidRPr="00F57254">
        <w:rPr>
          <w:rFonts w:ascii="Arial" w:hAnsi="Arial" w:cs="Arial"/>
          <w:sz w:val="24"/>
          <w:szCs w:val="24"/>
        </w:rPr>
        <w:t xml:space="preserve">Транспортная система муниципального образования Верхнекетский район Томской области представлена железнодорожным, автомобильным и водным видами транспорта. </w:t>
      </w:r>
    </w:p>
    <w:p w:rsidR="00F57254" w:rsidRPr="00F57254" w:rsidRDefault="00F57254" w:rsidP="00F57254">
      <w:pPr>
        <w:widowControl w:val="0"/>
        <w:tabs>
          <w:tab w:val="left" w:pos="-2552"/>
        </w:tabs>
        <w:ind w:firstLine="567"/>
        <w:jc w:val="both"/>
        <w:rPr>
          <w:rFonts w:ascii="Arial" w:hAnsi="Arial" w:cs="Arial"/>
          <w:sz w:val="24"/>
          <w:szCs w:val="24"/>
        </w:rPr>
      </w:pPr>
      <w:r w:rsidRPr="00F57254">
        <w:rPr>
          <w:rFonts w:ascii="Arial" w:hAnsi="Arial" w:cs="Arial"/>
          <w:sz w:val="24"/>
          <w:szCs w:val="24"/>
        </w:rPr>
        <w:t>Через железнодорожное сообщение ежедневно осуществляются пассажиро- и грузоперевозки между областным и районным центрами.</w:t>
      </w:r>
    </w:p>
    <w:p w:rsidR="00F57254" w:rsidRPr="00F57254" w:rsidRDefault="00F57254" w:rsidP="00F57254">
      <w:pPr>
        <w:widowControl w:val="0"/>
        <w:autoSpaceDE w:val="0"/>
        <w:autoSpaceDN w:val="0"/>
        <w:adjustRightInd w:val="0"/>
        <w:ind w:firstLine="567"/>
        <w:jc w:val="both"/>
        <w:rPr>
          <w:rFonts w:ascii="Arial" w:hAnsi="Arial" w:cs="Arial"/>
          <w:sz w:val="24"/>
          <w:szCs w:val="24"/>
        </w:rPr>
      </w:pPr>
      <w:r w:rsidRPr="00F57254">
        <w:rPr>
          <w:rFonts w:ascii="Arial" w:hAnsi="Arial" w:cs="Arial"/>
          <w:sz w:val="24"/>
          <w:szCs w:val="24"/>
        </w:rPr>
        <w:t xml:space="preserve">Водный транспорт представлен 3 маршрутами (Белый Яр–Сегондино, паромная переправа через реку Кеть в п.Катайга, п.Клюквинка–п.Дружный). Перевозки осуществляются частным перевозчиком на основании заключенного с Администрацией района муниципального контракта. </w:t>
      </w:r>
    </w:p>
    <w:p w:rsidR="00F57254" w:rsidRPr="00F57254" w:rsidRDefault="00F57254" w:rsidP="00F57254">
      <w:pPr>
        <w:widowControl w:val="0"/>
        <w:autoSpaceDE w:val="0"/>
        <w:autoSpaceDN w:val="0"/>
        <w:adjustRightInd w:val="0"/>
        <w:ind w:firstLine="567"/>
        <w:jc w:val="both"/>
        <w:rPr>
          <w:rFonts w:ascii="Arial" w:hAnsi="Arial" w:cs="Arial"/>
          <w:sz w:val="24"/>
          <w:szCs w:val="24"/>
        </w:rPr>
      </w:pPr>
      <w:r w:rsidRPr="00F57254">
        <w:rPr>
          <w:rFonts w:ascii="Arial" w:hAnsi="Arial" w:cs="Arial"/>
          <w:sz w:val="24"/>
          <w:szCs w:val="24"/>
        </w:rPr>
        <w:t>Устойчивая круглогодичная автотранспортная связь с административным центром района характерна только для части населённых пунктов: с.Палочка, п.Рыбинск, д.Тайное, д.Полуденовка, п.Ягодное, п.Санджик, п.Клюквинка, п.Степановка, п.Сайга, п.Нибега. Ряд населенных пунктов, находящихся на правобережье реки Кеть,  имеют сезонную транспортную доступность, периодически у них отсутствует автомобильное сообщение с центрами поселений и центром муниципального района. Перевозка грузов автомобильным транспортом в эти поселки возможна преимущественно  с использованием зимников и ледовых переправ. В период распутицы, во время ледостава и ледохода на реке Кеть, а также во время весеннего паводка сельские поселения (Орловское, Макзырское, Катайгинское) полностью отрезаны от автодорожной сети района.</w:t>
      </w:r>
    </w:p>
    <w:p w:rsidR="00F57254" w:rsidRPr="00F57254" w:rsidRDefault="00F57254" w:rsidP="00F57254">
      <w:pPr>
        <w:widowControl w:val="0"/>
        <w:tabs>
          <w:tab w:val="left" w:pos="-2552"/>
        </w:tabs>
        <w:autoSpaceDE w:val="0"/>
        <w:autoSpaceDN w:val="0"/>
        <w:adjustRightInd w:val="0"/>
        <w:jc w:val="both"/>
        <w:rPr>
          <w:rFonts w:ascii="Arial" w:hAnsi="Arial" w:cs="Arial"/>
          <w:sz w:val="24"/>
          <w:szCs w:val="24"/>
        </w:rPr>
      </w:pPr>
      <w:r w:rsidRPr="00F57254">
        <w:rPr>
          <w:rFonts w:ascii="Arial" w:hAnsi="Arial" w:cs="Arial"/>
          <w:sz w:val="24"/>
          <w:szCs w:val="24"/>
        </w:rPr>
        <w:t>Протяженность автомобильных дорог общего пользования на территории Верхнекетского района составляет 888,2 км (регионального или межмуниципального значения – 246,7 км, местного значения - 641,5 км), в том числе с твердым покрытием – 258,1 км (регионального или межмуниципального значения - 195 км, местного значения – 63,1 км). Автомобильные дороги общего пользования местного значения вне границ населенных пунктов составляют 407,1 км, автомобильные дороги общего пользования местного значения внутри населённых пунктов составляют 234,4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96,4%. Приведение дорог в нормативное состояние требует значительных финансовых вложений.</w:t>
      </w:r>
    </w:p>
    <w:p w:rsidR="00F57254" w:rsidRPr="00F57254" w:rsidRDefault="00F57254" w:rsidP="00F57254">
      <w:pPr>
        <w:widowControl w:val="0"/>
        <w:tabs>
          <w:tab w:val="left" w:pos="-2552"/>
        </w:tabs>
        <w:autoSpaceDE w:val="0"/>
        <w:autoSpaceDN w:val="0"/>
        <w:adjustRightInd w:val="0"/>
        <w:jc w:val="both"/>
        <w:rPr>
          <w:rFonts w:ascii="Arial" w:hAnsi="Arial" w:cs="Arial"/>
          <w:sz w:val="24"/>
          <w:szCs w:val="24"/>
        </w:rPr>
      </w:pPr>
      <w:r w:rsidRPr="00F57254">
        <w:rPr>
          <w:rFonts w:ascii="Arial" w:hAnsi="Arial" w:cs="Arial"/>
          <w:sz w:val="24"/>
          <w:szCs w:val="24"/>
        </w:rPr>
        <w:t xml:space="preserve"> С целью систематизации мероприятий в области дорожного хозяйства в 2015 году утверждена муниципальная программа «Развитие транспортной системы Верхнекетского района на 2016-2021 годы». В 2020 году на выполнение мероприятий по ремонту и содержанию дорог общего пользования местного значения в границах населенных пунктов и вне границ населенных пунктов направлено 19 840,2 тыс. руб. (из них 18 848,2 тыс. руб. за счет субсидии из областного бюджета) (отремонтировано 2,745 км автомобильных дорог). На период 2022-2024 годы планируется ежегодно приведение в нормативное состояние 2 км дорог общего пользования, в связи с чем значение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 2023 году достигнет значения 95,23%. В 2021 году в рамках вышеуказанной программы мероприятия по ремонту автомобильных дорог  в населенных пунктах будут продолжены. </w:t>
      </w:r>
    </w:p>
    <w:p w:rsidR="00F57254" w:rsidRPr="00F57254" w:rsidRDefault="00F57254" w:rsidP="00F57254">
      <w:pPr>
        <w:widowControl w:val="0"/>
        <w:tabs>
          <w:tab w:val="left" w:pos="-2552"/>
        </w:tabs>
        <w:autoSpaceDE w:val="0"/>
        <w:autoSpaceDN w:val="0"/>
        <w:adjustRightInd w:val="0"/>
        <w:jc w:val="both"/>
        <w:rPr>
          <w:rFonts w:ascii="Arial" w:hAnsi="Arial" w:cs="Arial"/>
          <w:sz w:val="24"/>
          <w:szCs w:val="24"/>
        </w:rPr>
      </w:pPr>
      <w:r w:rsidRPr="00F57254">
        <w:rPr>
          <w:rFonts w:ascii="Arial" w:hAnsi="Arial" w:cs="Arial"/>
          <w:sz w:val="24"/>
          <w:szCs w:val="24"/>
        </w:rPr>
        <w:t xml:space="preserve">В рамках государственной программы "Развитие транспортной инфраструктуры в Томской области" в 2021 году планируется провести ремонт автомобильных дорог </w:t>
      </w:r>
      <w:r w:rsidRPr="00F57254">
        <w:rPr>
          <w:rFonts w:ascii="Arial" w:hAnsi="Arial" w:cs="Arial"/>
          <w:sz w:val="24"/>
          <w:szCs w:val="24"/>
        </w:rPr>
        <w:lastRenderedPageBreak/>
        <w:t>протяженностью 2,4 км. На все последующие годы в рамках данной программы планирует увеличивать показатель не менее чем на 2 км.</w:t>
      </w:r>
    </w:p>
    <w:p w:rsidR="00F57254" w:rsidRPr="00F57254" w:rsidRDefault="00F57254" w:rsidP="00F57254">
      <w:pPr>
        <w:widowControl w:val="0"/>
        <w:tabs>
          <w:tab w:val="left" w:pos="-2552"/>
        </w:tabs>
        <w:jc w:val="both"/>
        <w:rPr>
          <w:rFonts w:ascii="Arial" w:hAnsi="Arial" w:cs="Arial"/>
          <w:sz w:val="24"/>
          <w:szCs w:val="24"/>
        </w:rPr>
      </w:pPr>
      <w:r w:rsidRPr="00F57254">
        <w:rPr>
          <w:rFonts w:ascii="Arial" w:hAnsi="Arial" w:cs="Arial"/>
          <w:sz w:val="24"/>
          <w:szCs w:val="24"/>
        </w:rPr>
        <w:t>В рамках реализации национального проекта «Безопасные и качественные автомобильные дороги» до 2025 года планируется реконструкция автомобильной дороги Первомайское-Белый Яр и Колпашево-Белый Яр. Протяженность автомобильных дорог общего пользования с твердым покрытием увеличится на 44 км, в том числе в 2022 году на 9 км, в 2023 году на 20 км, в 2024 году на 15 км.</w:t>
      </w:r>
    </w:p>
    <w:p w:rsidR="00F57254" w:rsidRPr="00F57254" w:rsidRDefault="00F57254" w:rsidP="00F57254">
      <w:pPr>
        <w:widowControl w:val="0"/>
        <w:tabs>
          <w:tab w:val="left" w:pos="-2552"/>
        </w:tabs>
        <w:jc w:val="both"/>
        <w:rPr>
          <w:rFonts w:ascii="Arial" w:hAnsi="Arial" w:cs="Arial"/>
          <w:sz w:val="24"/>
          <w:szCs w:val="24"/>
        </w:rPr>
      </w:pPr>
      <w:r w:rsidRPr="00F57254">
        <w:rPr>
          <w:rFonts w:ascii="Arial" w:hAnsi="Arial" w:cs="Arial"/>
          <w:sz w:val="24"/>
          <w:szCs w:val="24"/>
        </w:rPr>
        <w:t xml:space="preserve">Улучшение технического состояния автомобильных дорог общего пользования  местного значения позволит решить вопросы по организации регулярного автобусного сообщения населенных пунктов с районным центром. </w:t>
      </w:r>
    </w:p>
    <w:p w:rsidR="00F57254" w:rsidRPr="00F57254" w:rsidRDefault="00F57254" w:rsidP="00F57254">
      <w:pPr>
        <w:widowControl w:val="0"/>
        <w:autoSpaceDE w:val="0"/>
        <w:autoSpaceDN w:val="0"/>
        <w:adjustRightInd w:val="0"/>
        <w:ind w:firstLine="567"/>
        <w:jc w:val="both"/>
        <w:rPr>
          <w:rFonts w:ascii="Arial" w:hAnsi="Arial" w:cs="Arial"/>
          <w:sz w:val="24"/>
          <w:szCs w:val="24"/>
        </w:rPr>
      </w:pPr>
      <w:r w:rsidRPr="00F57254">
        <w:rPr>
          <w:rFonts w:ascii="Arial" w:hAnsi="Arial" w:cs="Arial"/>
          <w:sz w:val="24"/>
          <w:szCs w:val="24"/>
        </w:rPr>
        <w:t>Администрация Верхнекетского района продолжает вести работу по организации регулярных пассажирских перевозок автомобильным транспортом между населенными пунктами района и р.п.Белый Яр. Решение вопроса по организации регулярного автобусного сообщения с районным центром позволит снизить долю населения, проживающего в населенных пунктах, не имеющих регулярного сообщения, в общей численности района.</w:t>
      </w:r>
    </w:p>
    <w:p w:rsidR="00F57254" w:rsidRPr="00F57254" w:rsidRDefault="00F57254" w:rsidP="00F57254">
      <w:pPr>
        <w:widowControl w:val="0"/>
        <w:autoSpaceDE w:val="0"/>
        <w:autoSpaceDN w:val="0"/>
        <w:adjustRightInd w:val="0"/>
        <w:jc w:val="both"/>
        <w:rPr>
          <w:rFonts w:ascii="Arial" w:hAnsi="Arial" w:cs="Arial"/>
          <w:sz w:val="24"/>
          <w:szCs w:val="24"/>
        </w:rPr>
      </w:pPr>
    </w:p>
    <w:p w:rsidR="00F57254" w:rsidRPr="00F57254" w:rsidRDefault="00F57254" w:rsidP="00F57254">
      <w:pPr>
        <w:widowControl w:val="0"/>
        <w:autoSpaceDE w:val="0"/>
        <w:autoSpaceDN w:val="0"/>
        <w:adjustRightInd w:val="0"/>
        <w:jc w:val="center"/>
        <w:rPr>
          <w:rFonts w:ascii="Arial" w:hAnsi="Arial" w:cs="Arial"/>
          <w:b/>
          <w:sz w:val="24"/>
          <w:szCs w:val="24"/>
        </w:rPr>
      </w:pPr>
      <w:r w:rsidRPr="00F57254">
        <w:rPr>
          <w:rFonts w:ascii="Arial" w:hAnsi="Arial" w:cs="Arial"/>
          <w:b/>
          <w:sz w:val="24"/>
          <w:szCs w:val="24"/>
        </w:rPr>
        <w:t>Строительство</w:t>
      </w:r>
    </w:p>
    <w:p w:rsidR="00F57254" w:rsidRPr="00F57254" w:rsidRDefault="00F57254" w:rsidP="00F57254">
      <w:pPr>
        <w:widowControl w:val="0"/>
        <w:autoSpaceDE w:val="0"/>
        <w:autoSpaceDN w:val="0"/>
        <w:adjustRightInd w:val="0"/>
        <w:jc w:val="both"/>
        <w:rPr>
          <w:rFonts w:ascii="Arial" w:hAnsi="Arial" w:cs="Arial"/>
          <w:bCs/>
          <w:sz w:val="24"/>
          <w:szCs w:val="24"/>
        </w:rPr>
      </w:pPr>
      <w:r w:rsidRPr="00F57254">
        <w:rPr>
          <w:rFonts w:ascii="Arial" w:hAnsi="Arial" w:cs="Arial"/>
          <w:bCs/>
          <w:sz w:val="24"/>
          <w:szCs w:val="24"/>
        </w:rPr>
        <w:t>За 2020 год было введено в эксплуатацию 28 индивидуальных жилых домов общей площадью 2516 кв. м., что составляет 81,9 % к уровню 2019 года.</w:t>
      </w:r>
    </w:p>
    <w:p w:rsidR="00F57254" w:rsidRPr="00F57254" w:rsidRDefault="00F57254" w:rsidP="00F57254">
      <w:pPr>
        <w:widowControl w:val="0"/>
        <w:autoSpaceDE w:val="0"/>
        <w:autoSpaceDN w:val="0"/>
        <w:adjustRightInd w:val="0"/>
        <w:jc w:val="both"/>
        <w:rPr>
          <w:rFonts w:ascii="Arial" w:hAnsi="Arial" w:cs="Arial"/>
          <w:bCs/>
          <w:sz w:val="24"/>
          <w:szCs w:val="24"/>
        </w:rPr>
      </w:pPr>
      <w:r w:rsidRPr="00F57254">
        <w:rPr>
          <w:rFonts w:ascii="Arial" w:hAnsi="Arial" w:cs="Arial"/>
          <w:bCs/>
          <w:sz w:val="24"/>
          <w:szCs w:val="24"/>
        </w:rPr>
        <w:t>Значения базового и целевого вариантов установлены в соответствии с плановыми показателями по вводу объектов жилищного строительства на период 2021-2024 годы в рамках государственной программе «Жилье и городская среда Томской области».</w:t>
      </w:r>
    </w:p>
    <w:p w:rsidR="00F57254" w:rsidRPr="00F57254" w:rsidRDefault="00F57254" w:rsidP="00F57254">
      <w:pPr>
        <w:widowControl w:val="0"/>
        <w:autoSpaceDE w:val="0"/>
        <w:autoSpaceDN w:val="0"/>
        <w:adjustRightInd w:val="0"/>
        <w:jc w:val="both"/>
        <w:rPr>
          <w:rFonts w:ascii="Arial" w:hAnsi="Arial" w:cs="Arial"/>
          <w:bCs/>
          <w:sz w:val="24"/>
          <w:szCs w:val="24"/>
        </w:rPr>
      </w:pPr>
      <w:r w:rsidRPr="00F57254">
        <w:rPr>
          <w:rFonts w:ascii="Arial" w:hAnsi="Arial" w:cs="Arial"/>
          <w:bCs/>
          <w:sz w:val="24"/>
          <w:szCs w:val="24"/>
        </w:rPr>
        <w:t>Прогноз показателей в 2022-2024 годах в базовом и целевом варианте планируется за счет:</w:t>
      </w:r>
    </w:p>
    <w:p w:rsidR="00F57254" w:rsidRPr="00F57254" w:rsidRDefault="00F57254" w:rsidP="00F57254">
      <w:pPr>
        <w:widowControl w:val="0"/>
        <w:autoSpaceDE w:val="0"/>
        <w:autoSpaceDN w:val="0"/>
        <w:adjustRightInd w:val="0"/>
        <w:jc w:val="both"/>
        <w:rPr>
          <w:rFonts w:ascii="Arial" w:hAnsi="Arial" w:cs="Arial"/>
          <w:bCs/>
          <w:sz w:val="24"/>
          <w:szCs w:val="24"/>
        </w:rPr>
      </w:pPr>
      <w:r w:rsidRPr="00F57254">
        <w:rPr>
          <w:rFonts w:ascii="Arial" w:hAnsi="Arial" w:cs="Arial"/>
          <w:bCs/>
          <w:sz w:val="24"/>
          <w:szCs w:val="24"/>
        </w:rPr>
        <w:t xml:space="preserve">- ввода в эксплуатацию объектов индивидуальных жилых домов, построенных населением; </w:t>
      </w:r>
    </w:p>
    <w:p w:rsidR="00F57254" w:rsidRPr="00F57254" w:rsidRDefault="00F57254" w:rsidP="00F57254">
      <w:pPr>
        <w:widowControl w:val="0"/>
        <w:autoSpaceDE w:val="0"/>
        <w:autoSpaceDN w:val="0"/>
        <w:adjustRightInd w:val="0"/>
        <w:jc w:val="both"/>
        <w:rPr>
          <w:rFonts w:ascii="Arial" w:hAnsi="Arial" w:cs="Arial"/>
          <w:bCs/>
          <w:sz w:val="24"/>
          <w:szCs w:val="24"/>
        </w:rPr>
      </w:pPr>
      <w:r w:rsidRPr="00F57254">
        <w:rPr>
          <w:rFonts w:ascii="Arial" w:hAnsi="Arial" w:cs="Arial"/>
          <w:bCs/>
          <w:sz w:val="24"/>
          <w:szCs w:val="24"/>
        </w:rPr>
        <w:t>-  ввода в эксплуатацию объектов ИЖС, построенных ООО «Белстройсервис» в рамках комплексной застройки микрорайона «Юго-Восточный» в количестве 40 домов</w:t>
      </w:r>
      <w:r w:rsidRPr="00F57254">
        <w:rPr>
          <w:sz w:val="24"/>
          <w:szCs w:val="24"/>
        </w:rPr>
        <w:t xml:space="preserve"> </w:t>
      </w:r>
      <w:r w:rsidRPr="00F57254">
        <w:rPr>
          <w:rFonts w:ascii="Arial" w:hAnsi="Arial" w:cs="Arial"/>
          <w:bCs/>
          <w:sz w:val="24"/>
          <w:szCs w:val="24"/>
        </w:rPr>
        <w:t xml:space="preserve">общей площадью 4 000 кв.м.       </w:t>
      </w:r>
    </w:p>
    <w:p w:rsidR="00F57254" w:rsidRPr="00F57254" w:rsidRDefault="00F57254" w:rsidP="00F57254">
      <w:pPr>
        <w:widowControl w:val="0"/>
        <w:autoSpaceDE w:val="0"/>
        <w:autoSpaceDN w:val="0"/>
        <w:adjustRightInd w:val="0"/>
        <w:jc w:val="both"/>
        <w:rPr>
          <w:rFonts w:ascii="Arial" w:hAnsi="Arial" w:cs="Arial"/>
          <w:bCs/>
          <w:sz w:val="24"/>
          <w:szCs w:val="24"/>
        </w:rPr>
      </w:pPr>
      <w:r w:rsidRPr="00F57254">
        <w:rPr>
          <w:rFonts w:ascii="Arial" w:hAnsi="Arial" w:cs="Arial"/>
          <w:bCs/>
          <w:sz w:val="24"/>
          <w:szCs w:val="24"/>
        </w:rPr>
        <w:t>Показатель «Объем работ, выполненных по виду экономической деятельности "Строительство" включает в себя работы по строительству автомобильных дорог. На прогнозный период до 2024 года запланировано строительство автомобильных дорог в уровне доведенных средств на 2021.</w:t>
      </w:r>
    </w:p>
    <w:p w:rsidR="00F57254" w:rsidRPr="00F57254" w:rsidRDefault="00F57254" w:rsidP="00F57254">
      <w:pPr>
        <w:widowControl w:val="0"/>
        <w:autoSpaceDE w:val="0"/>
        <w:autoSpaceDN w:val="0"/>
        <w:adjustRightInd w:val="0"/>
        <w:jc w:val="both"/>
        <w:rPr>
          <w:rFonts w:ascii="Arial" w:hAnsi="Arial" w:cs="Arial"/>
          <w:bCs/>
          <w:color w:val="FF0000"/>
          <w:sz w:val="24"/>
          <w:szCs w:val="24"/>
          <w:highlight w:val="yellow"/>
        </w:rPr>
      </w:pPr>
    </w:p>
    <w:p w:rsidR="00F57254" w:rsidRPr="00F57254" w:rsidRDefault="00F57254" w:rsidP="00F57254">
      <w:pPr>
        <w:widowControl w:val="0"/>
        <w:autoSpaceDE w:val="0"/>
        <w:autoSpaceDN w:val="0"/>
        <w:adjustRightInd w:val="0"/>
        <w:ind w:firstLine="0"/>
        <w:jc w:val="center"/>
        <w:rPr>
          <w:rFonts w:ascii="Arial" w:hAnsi="Arial" w:cs="Arial"/>
          <w:b/>
          <w:bCs/>
          <w:sz w:val="24"/>
          <w:szCs w:val="24"/>
        </w:rPr>
      </w:pPr>
      <w:r w:rsidRPr="00F57254">
        <w:rPr>
          <w:rFonts w:ascii="Arial" w:hAnsi="Arial" w:cs="Arial"/>
          <w:b/>
          <w:bCs/>
          <w:sz w:val="24"/>
          <w:szCs w:val="24"/>
        </w:rPr>
        <w:t>Инвестиции</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 xml:space="preserve">В 2020 году инвестиции в основной капитал (за исключением бюджетных средств) в расчете на одного жителя составляют 4672,9 рублей. </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Вклад в основной капитал за счет собственных и привлеченных средств (за исключением бюджетных средств) за 2020 год составил 60,2 млн. рублей. по следующим видам деятельности:</w:t>
      </w:r>
    </w:p>
    <w:p w:rsidR="00F57254" w:rsidRPr="00F57254" w:rsidRDefault="00F57254" w:rsidP="00F57254">
      <w:pPr>
        <w:ind w:firstLine="567"/>
        <w:jc w:val="both"/>
        <w:rPr>
          <w:rFonts w:ascii="Arial" w:hAnsi="Arial" w:cs="Arial"/>
          <w:sz w:val="24"/>
          <w:szCs w:val="24"/>
        </w:rPr>
      </w:pPr>
      <w:r w:rsidRPr="00F57254">
        <w:rPr>
          <w:rFonts w:ascii="Arial" w:hAnsi="Arial" w:cs="Arial"/>
          <w:sz w:val="24"/>
          <w:szCs w:val="24"/>
        </w:rPr>
        <w:t>- по виду деятельности «Обеспечение электрической энергией, газом и паром; кондиционирование воздуха» в размере 18,8 млн. руб. (на 1 жителя 1197 рублей);</w:t>
      </w:r>
    </w:p>
    <w:p w:rsidR="00F57254" w:rsidRPr="00F57254" w:rsidRDefault="00F57254" w:rsidP="00F57254">
      <w:pPr>
        <w:autoSpaceDE w:val="0"/>
        <w:autoSpaceDN w:val="0"/>
        <w:adjustRightInd w:val="0"/>
        <w:ind w:firstLine="567"/>
        <w:rPr>
          <w:rFonts w:ascii="Arial" w:hAnsi="Arial" w:cs="Arial"/>
          <w:sz w:val="24"/>
          <w:szCs w:val="24"/>
        </w:rPr>
      </w:pPr>
      <w:r w:rsidRPr="00F57254">
        <w:rPr>
          <w:rFonts w:ascii="Arial" w:hAnsi="Arial" w:cs="Arial"/>
          <w:sz w:val="24"/>
          <w:szCs w:val="24"/>
        </w:rPr>
        <w:t>-</w:t>
      </w:r>
      <w:r w:rsidRPr="00F57254">
        <w:rPr>
          <w:rFonts w:ascii="Arial" w:hAnsi="Arial" w:cs="Arial"/>
          <w:bCs/>
          <w:iCs/>
          <w:sz w:val="24"/>
          <w:szCs w:val="24"/>
        </w:rPr>
        <w:t xml:space="preserve"> по виду деятельности «Операции с недвижимым имуществом» в размере 9,5 млн. руб. (на 1 жителя 602 рубля);</w:t>
      </w:r>
    </w:p>
    <w:p w:rsidR="00F57254" w:rsidRPr="00F57254" w:rsidRDefault="00F57254" w:rsidP="00F57254">
      <w:pPr>
        <w:ind w:firstLine="567"/>
        <w:jc w:val="both"/>
        <w:rPr>
          <w:rFonts w:ascii="Arial" w:hAnsi="Arial" w:cs="Arial"/>
          <w:sz w:val="24"/>
          <w:szCs w:val="24"/>
        </w:rPr>
      </w:pPr>
      <w:r w:rsidRPr="00F57254">
        <w:rPr>
          <w:rFonts w:ascii="Arial" w:hAnsi="Arial" w:cs="Arial"/>
          <w:sz w:val="24"/>
          <w:szCs w:val="24"/>
        </w:rPr>
        <w:t>- по виду деятельности «Деятельность в области здравоохранения» в размере 12,6 млн. руб. (на 1 жителя 806 рублей);</w:t>
      </w:r>
    </w:p>
    <w:p w:rsidR="00F57254" w:rsidRPr="00F57254" w:rsidRDefault="00F57254" w:rsidP="00F57254">
      <w:pPr>
        <w:ind w:firstLine="567"/>
        <w:jc w:val="both"/>
        <w:rPr>
          <w:rFonts w:ascii="Arial" w:hAnsi="Arial" w:cs="Arial"/>
          <w:sz w:val="24"/>
          <w:szCs w:val="24"/>
        </w:rPr>
      </w:pPr>
      <w:r w:rsidRPr="00F57254">
        <w:rPr>
          <w:rFonts w:ascii="Arial" w:hAnsi="Arial" w:cs="Arial"/>
          <w:sz w:val="24"/>
          <w:szCs w:val="24"/>
        </w:rPr>
        <w:t>- по виду деятельности «Деятельность творческая, деятельность в области искусства и организации развлечений» в размере 1,4 млн. руб. (на 1 жителя 89 рублей);</w:t>
      </w:r>
    </w:p>
    <w:p w:rsidR="00F57254" w:rsidRPr="00F57254" w:rsidRDefault="00F57254" w:rsidP="00F57254">
      <w:pPr>
        <w:ind w:firstLine="567"/>
        <w:jc w:val="both"/>
        <w:rPr>
          <w:rFonts w:ascii="Arial" w:hAnsi="Arial" w:cs="Arial"/>
          <w:sz w:val="24"/>
          <w:szCs w:val="24"/>
        </w:rPr>
      </w:pPr>
      <w:r w:rsidRPr="00F57254">
        <w:rPr>
          <w:rFonts w:ascii="Arial" w:hAnsi="Arial" w:cs="Arial"/>
          <w:sz w:val="24"/>
          <w:szCs w:val="24"/>
        </w:rPr>
        <w:lastRenderedPageBreak/>
        <w:t>- по виду деятельности «Образование» в размере 12,2 млн. руб. (на 1 жителя 778 рублей);</w:t>
      </w:r>
    </w:p>
    <w:p w:rsidR="00F57254" w:rsidRPr="00F57254" w:rsidRDefault="00F57254" w:rsidP="00F57254">
      <w:pPr>
        <w:ind w:firstLine="567"/>
        <w:jc w:val="both"/>
        <w:rPr>
          <w:rFonts w:ascii="Arial" w:hAnsi="Arial" w:cs="Arial"/>
          <w:sz w:val="24"/>
          <w:szCs w:val="24"/>
        </w:rPr>
      </w:pPr>
      <w:r w:rsidRPr="00F57254">
        <w:rPr>
          <w:rFonts w:ascii="Arial" w:hAnsi="Arial" w:cs="Arial"/>
          <w:sz w:val="24"/>
          <w:szCs w:val="24"/>
        </w:rPr>
        <w:t>- по виду деятельности «Торговля розничная, кроме торговли автотранспортными средствами и мотоциклами» в размере 5,7 млн. руб. (на 1 жителя 364 рубля).</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 xml:space="preserve">Сдерживающее влияние на инвестиционное развитие Верхнекетского района продолжают оказывать ограничения в сфере транспортной и энергетической инфраструктуры, а также небольшой объем внутреннего рынка.   </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В отчётном периоде была продолжена работа по созданию благоприятного инвестиционного климата в Верхнекетском районе.</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Разработан и размещен в открытом доступе Инвестиционный паспорт Верхнекетского района (разработаны и размещены на сайте Администрации Верхнекетского района подробный инвестиционный паспорт и краткий инвестиционный паспорт в виде презентации).</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В 2020 году банно-прачечный комплекс введен в эксплуатацию.</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В Белоярском городском поселении ведётся работа по формированию земельных участков под многоэтажное жилое строительство.</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 xml:space="preserve">Для привлечения федерального и областного финансирования на строительство краеведческого музея в р.п. Белый Яр Верхнекетского района Томской области направлена бюджетная заявка в Департамент по социально-экономическому развитию села  Томской области для участия в конкурсном отборе по программе «Комплексное развитие сельских территорий». Стоимость реализации проекта в 2022 году - 146,3 млн. руб. </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 xml:space="preserve">В настоящее время на инвестиционной карте Томской области размещена информация о верхнекетской площадке «Белоярское месторождение кирпичных глин» с целью строительства завода по производству кирпича. В каталоге инвестиционных предложений Томской области размещено инвестиционное предложение «Строительство профилактория на базе существующей сероводородной скважины». </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Планируемый объем инвестиций в основной капитал в расчете на 1 жителя на 2021-2024 годы связан с предполагаемой реализацией следующих проектов:</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 строительство сушильного цеха в р.п. Белый Яр (производство пиломатериалов);</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 жилищное строительство;</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 xml:space="preserve">- строительство гостиничного комплекса в р.п. Белый Яр; </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 строительство краеведческого музея.</w:t>
      </w:r>
    </w:p>
    <w:p w:rsidR="00F57254" w:rsidRPr="00F57254" w:rsidRDefault="00F57254" w:rsidP="00F57254">
      <w:pPr>
        <w:widowControl w:val="0"/>
        <w:autoSpaceDE w:val="0"/>
        <w:autoSpaceDN w:val="0"/>
        <w:adjustRightInd w:val="0"/>
        <w:ind w:firstLine="567"/>
        <w:jc w:val="both"/>
        <w:rPr>
          <w:rFonts w:ascii="Arial" w:hAnsi="Arial" w:cs="Arial"/>
          <w:color w:val="FF0000"/>
          <w:sz w:val="24"/>
          <w:szCs w:val="24"/>
        </w:rPr>
      </w:pPr>
    </w:p>
    <w:p w:rsidR="00F57254" w:rsidRPr="00F57254" w:rsidRDefault="00F57254" w:rsidP="00F57254">
      <w:pPr>
        <w:widowControl w:val="0"/>
        <w:autoSpaceDE w:val="0"/>
        <w:autoSpaceDN w:val="0"/>
        <w:adjustRightInd w:val="0"/>
        <w:ind w:firstLine="0"/>
        <w:jc w:val="center"/>
        <w:rPr>
          <w:rFonts w:ascii="Arial" w:hAnsi="Arial" w:cs="Arial"/>
          <w:b/>
          <w:bCs/>
          <w:sz w:val="24"/>
          <w:szCs w:val="24"/>
        </w:rPr>
      </w:pPr>
      <w:r w:rsidRPr="00F57254">
        <w:rPr>
          <w:rFonts w:ascii="Arial" w:hAnsi="Arial" w:cs="Arial"/>
          <w:b/>
          <w:bCs/>
          <w:sz w:val="24"/>
          <w:szCs w:val="24"/>
        </w:rPr>
        <w:t>Торговля и услуги населению</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Развитие потребительского рынка района осуществляется в тесной увязке с социально-экономическими преобразованиями, намеченными администрацией района и области и предусмотренными в долгосрочных целевых программах.</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Сфера торговли остается инвестиционно-привлекательной отраслью экономики. Интерес инвесторов к значительным вложениям в развитие торговли области объясняется динамичностью ее развития, стабильностью экономической политики, проводимой администрацией района.</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 xml:space="preserve"> За пять прошедших лет развития отрасли торговля проявила себя как одна из важнейших сфер жизнеобеспечения населения, где непосредственно осуществляется согласование предлагаемых товаров и платежеспособного покупательского спроса. Это один из самых доходных и стремительно растущих сегментов экономики, который характеризуется ежегодными устойчивыми темпами наращивания объемов продаж, обеспечением роста экономических и финансовых результатов, активизацией коммерческой и социальной инициативы, укреплением материально-технической </w:t>
      </w:r>
      <w:r w:rsidRPr="00F57254">
        <w:rPr>
          <w:rFonts w:ascii="Arial" w:hAnsi="Arial" w:cs="Arial"/>
          <w:sz w:val="24"/>
          <w:szCs w:val="24"/>
        </w:rPr>
        <w:lastRenderedPageBreak/>
        <w:t>базы, кадрового потенциала. Однако с 2021 года прогнозируется снижение покупательской способности за счет роста цен.</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Оборот розничной торговли ежегодно растёт, в 2020 году оборот составил 129,7%  к уровню 2019 года, на 2021 год прогнозируется рост на 3,1%.</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В структуре розничного товарооборота  до 2016 года удельный вес продовольственных товаров составлял 49%, непродовольственных 51%, что свидетельствовало о позитивных изменениях в повышении жизненного уровня жителей района и так, было многие годы вне кризиса. С 2014 года экономические изменения в стране негативно отразились  и на уровне жизни населения района, так в 2020 году удельный вес продовольственных товаров составил 83,0%, непродовольственных – 17,0%, на 2021 год из-за распространения коронавирусной инфекции ожидается сохранение показателя на уровне 2020 года.</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Объем платных услуг в 2020 году составил 123,6 млн. рублей, на 2021год объем услуг планируется в размере 128,6  млн. рублей (104% к 2020 году).</w:t>
      </w:r>
    </w:p>
    <w:p w:rsidR="00F57254" w:rsidRPr="00F57254" w:rsidRDefault="00F57254" w:rsidP="00F57254">
      <w:pPr>
        <w:autoSpaceDE w:val="0"/>
        <w:autoSpaceDN w:val="0"/>
        <w:adjustRightInd w:val="0"/>
        <w:ind w:firstLine="567"/>
        <w:jc w:val="both"/>
        <w:rPr>
          <w:rFonts w:ascii="Arial" w:hAnsi="Arial" w:cs="Arial"/>
          <w:sz w:val="24"/>
          <w:szCs w:val="24"/>
        </w:rPr>
      </w:pPr>
      <w:r w:rsidRPr="00F57254">
        <w:rPr>
          <w:rFonts w:ascii="Arial" w:hAnsi="Arial" w:cs="Arial"/>
          <w:sz w:val="24"/>
          <w:szCs w:val="24"/>
        </w:rPr>
        <w:t xml:space="preserve">Население района бесперебойно обеспечивается продуктами питания и непродовольственными товарами. </w:t>
      </w:r>
    </w:p>
    <w:p w:rsidR="00F57254" w:rsidRPr="00F57254" w:rsidRDefault="00F57254" w:rsidP="00F57254">
      <w:pPr>
        <w:ind w:firstLine="567"/>
        <w:jc w:val="both"/>
        <w:rPr>
          <w:rFonts w:ascii="Arial" w:hAnsi="Arial" w:cs="Arial"/>
          <w:sz w:val="24"/>
          <w:szCs w:val="24"/>
        </w:rPr>
      </w:pPr>
      <w:r w:rsidRPr="00F57254">
        <w:rPr>
          <w:rFonts w:ascii="Arial" w:hAnsi="Arial" w:cs="Arial"/>
          <w:sz w:val="24"/>
          <w:szCs w:val="24"/>
        </w:rPr>
        <w:t>Оборот общественного питания в статистических сборниках отсутствует, для ведомственной статистике их тоже невозможно получить. Общественное питание в районе представлено мелкими кафе в количестве 7 единиц.</w:t>
      </w:r>
    </w:p>
    <w:p w:rsidR="00F57254" w:rsidRPr="00F57254" w:rsidRDefault="00F57254" w:rsidP="00F57254">
      <w:pPr>
        <w:ind w:firstLine="567"/>
        <w:jc w:val="both"/>
        <w:rPr>
          <w:rFonts w:ascii="Arial" w:hAnsi="Arial" w:cs="Arial"/>
          <w:sz w:val="24"/>
          <w:szCs w:val="24"/>
        </w:rPr>
      </w:pPr>
    </w:p>
    <w:p w:rsidR="00F57254" w:rsidRPr="00F57254" w:rsidRDefault="00F57254" w:rsidP="00F57254">
      <w:pPr>
        <w:widowControl w:val="0"/>
        <w:autoSpaceDE w:val="0"/>
        <w:autoSpaceDN w:val="0"/>
        <w:adjustRightInd w:val="0"/>
        <w:jc w:val="center"/>
        <w:rPr>
          <w:rFonts w:ascii="Arial" w:hAnsi="Arial" w:cs="Arial"/>
          <w:b/>
          <w:bCs/>
          <w:sz w:val="24"/>
          <w:szCs w:val="24"/>
        </w:rPr>
      </w:pPr>
      <w:r w:rsidRPr="00F57254">
        <w:rPr>
          <w:rFonts w:ascii="Arial" w:hAnsi="Arial" w:cs="Arial"/>
          <w:b/>
          <w:bCs/>
          <w:sz w:val="24"/>
          <w:szCs w:val="24"/>
        </w:rPr>
        <w:t>Малое и среднее предпринимательство, включая микропредприятия</w:t>
      </w:r>
    </w:p>
    <w:p w:rsidR="00F57254" w:rsidRPr="00F57254" w:rsidRDefault="00F57254" w:rsidP="00F57254">
      <w:pPr>
        <w:widowControl w:val="0"/>
        <w:autoSpaceDE w:val="0"/>
        <w:autoSpaceDN w:val="0"/>
        <w:adjustRightInd w:val="0"/>
        <w:jc w:val="center"/>
        <w:rPr>
          <w:rFonts w:ascii="Arial" w:hAnsi="Arial" w:cs="Arial"/>
          <w:b/>
          <w:bCs/>
          <w:sz w:val="24"/>
          <w:szCs w:val="24"/>
        </w:rPr>
      </w:pP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Отраслевая структура хозяйствующих субъектов района носит ярко выраженный коммерческий характер в районе зарегистрировано 524 хозяйствующих субъекта, из которых 72,5% составляют субъекты малого и среднего бизнеса, 15,6% самозанятые граждане.</w:t>
      </w:r>
    </w:p>
    <w:p w:rsidR="00F57254" w:rsidRPr="00F57254" w:rsidRDefault="00F57254" w:rsidP="00F57254">
      <w:pPr>
        <w:ind w:firstLine="708"/>
        <w:jc w:val="both"/>
        <w:rPr>
          <w:rFonts w:ascii="Arial" w:hAnsi="Arial" w:cs="Arial"/>
          <w:sz w:val="24"/>
          <w:szCs w:val="24"/>
        </w:rPr>
      </w:pPr>
      <w:r w:rsidRPr="00F57254">
        <w:rPr>
          <w:rFonts w:ascii="Arial" w:hAnsi="Arial" w:cs="Arial"/>
          <w:sz w:val="24"/>
          <w:szCs w:val="24"/>
        </w:rPr>
        <w:t xml:space="preserve">На 1000 жителей района приходится 6 предприятий малого и среднего  предпринимательства, включая микропредприятия. </w:t>
      </w:r>
    </w:p>
    <w:p w:rsidR="00F57254" w:rsidRPr="00F57254" w:rsidRDefault="00F57254" w:rsidP="00F57254">
      <w:pPr>
        <w:ind w:firstLine="567"/>
        <w:jc w:val="both"/>
        <w:rPr>
          <w:rFonts w:ascii="Arial" w:hAnsi="Arial" w:cs="Arial"/>
          <w:sz w:val="24"/>
          <w:szCs w:val="24"/>
        </w:rPr>
      </w:pPr>
      <w:r w:rsidRPr="00F57254">
        <w:rPr>
          <w:rFonts w:ascii="Arial" w:hAnsi="Arial" w:cs="Arial"/>
          <w:sz w:val="24"/>
          <w:szCs w:val="24"/>
        </w:rPr>
        <w:t>Распределение субъектов малого и среднего предпринимательства по видам экономической деятельности:</w:t>
      </w:r>
    </w:p>
    <w:p w:rsidR="00F57254" w:rsidRPr="00F57254" w:rsidRDefault="00F57254" w:rsidP="00F57254">
      <w:pPr>
        <w:ind w:firstLine="567"/>
        <w:jc w:val="both"/>
        <w:rPr>
          <w:rFonts w:ascii="Arial" w:hAnsi="Arial" w:cs="Arial"/>
          <w:sz w:val="24"/>
          <w:szCs w:val="24"/>
        </w:rPr>
      </w:pPr>
    </w:p>
    <w:tbl>
      <w:tblPr>
        <w:tblW w:w="962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22"/>
        <w:gridCol w:w="1025"/>
        <w:gridCol w:w="1025"/>
        <w:gridCol w:w="1149"/>
      </w:tblGrid>
      <w:tr w:rsidR="00F57254" w:rsidRPr="00F57254" w:rsidTr="00F57254">
        <w:trPr>
          <w:trHeight w:val="574"/>
          <w:tblHeader/>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Наименование</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2019</w:t>
            </w:r>
          </w:p>
        </w:tc>
        <w:tc>
          <w:tcPr>
            <w:tcW w:w="1025"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2020</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Темп роста 2020г. к 2019г., %</w:t>
            </w:r>
          </w:p>
        </w:tc>
      </w:tr>
      <w:tr w:rsidR="00F57254" w:rsidRPr="00F57254" w:rsidTr="00F57254">
        <w:trPr>
          <w:trHeight w:val="300"/>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Всего</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99</w:t>
            </w: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103</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104</w:t>
            </w:r>
          </w:p>
        </w:tc>
      </w:tr>
      <w:tr w:rsidR="00F57254" w:rsidRPr="00F57254" w:rsidTr="00F57254">
        <w:trPr>
          <w:trHeight w:val="128"/>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в том числе:</w:t>
            </w:r>
          </w:p>
        </w:tc>
        <w:tc>
          <w:tcPr>
            <w:tcW w:w="1025" w:type="dxa"/>
          </w:tcPr>
          <w:p w:rsidR="00F57254" w:rsidRPr="00F57254" w:rsidRDefault="00F57254" w:rsidP="00F57254">
            <w:pPr>
              <w:widowControl w:val="0"/>
              <w:autoSpaceDE w:val="0"/>
              <w:autoSpaceDN w:val="0"/>
              <w:adjustRightInd w:val="0"/>
              <w:ind w:firstLine="0"/>
              <w:rPr>
                <w:sz w:val="24"/>
                <w:szCs w:val="24"/>
              </w:rPr>
            </w:pP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p>
        </w:tc>
      </w:tr>
      <w:tr w:rsidR="00F57254" w:rsidRPr="00F57254" w:rsidTr="00F57254">
        <w:trPr>
          <w:trHeight w:val="285"/>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 xml:space="preserve">Сельское хозяйство, охота и лесное хозяйство </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22</w:t>
            </w: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23</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104,5</w:t>
            </w:r>
          </w:p>
        </w:tc>
      </w:tr>
      <w:tr w:rsidR="00F57254" w:rsidRPr="00F57254" w:rsidTr="00F57254">
        <w:trPr>
          <w:trHeight w:val="285"/>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 xml:space="preserve">Обрабатывающие производства </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15</w:t>
            </w: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16</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106,7</w:t>
            </w:r>
          </w:p>
        </w:tc>
      </w:tr>
      <w:tr w:rsidR="00F57254" w:rsidRPr="00F57254" w:rsidTr="00F57254">
        <w:trPr>
          <w:trHeight w:val="285"/>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Строительство</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2</w:t>
            </w: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4</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в 2 раза</w:t>
            </w:r>
          </w:p>
        </w:tc>
      </w:tr>
      <w:tr w:rsidR="00F57254" w:rsidRPr="00F57254" w:rsidTr="00F57254">
        <w:trPr>
          <w:trHeight w:val="432"/>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29</w:t>
            </w: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32</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110,3</w:t>
            </w:r>
          </w:p>
        </w:tc>
      </w:tr>
      <w:tr w:rsidR="00F57254" w:rsidRPr="00F57254" w:rsidTr="00F57254">
        <w:trPr>
          <w:trHeight w:val="285"/>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Гостиницы и рестораны</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2</w:t>
            </w: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2</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100</w:t>
            </w:r>
          </w:p>
        </w:tc>
      </w:tr>
      <w:tr w:rsidR="00F57254" w:rsidRPr="00F57254" w:rsidTr="00F57254">
        <w:trPr>
          <w:trHeight w:val="285"/>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Транспорт и связь</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9</w:t>
            </w: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8</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88,9</w:t>
            </w:r>
          </w:p>
        </w:tc>
      </w:tr>
      <w:tr w:rsidR="00F57254" w:rsidRPr="00F57254" w:rsidTr="00F57254">
        <w:trPr>
          <w:trHeight w:val="285"/>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Финансовая деятельность</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1</w:t>
            </w: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w:t>
            </w:r>
          </w:p>
        </w:tc>
      </w:tr>
      <w:tr w:rsidR="00F57254" w:rsidRPr="00F57254" w:rsidTr="00F57254">
        <w:trPr>
          <w:trHeight w:val="224"/>
        </w:trPr>
        <w:tc>
          <w:tcPr>
            <w:tcW w:w="6422" w:type="dxa"/>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Операции с недвижимым имуществом, аренда и предоставление услуг</w:t>
            </w:r>
          </w:p>
        </w:tc>
        <w:tc>
          <w:tcPr>
            <w:tcW w:w="1025" w:type="dxa"/>
          </w:tcPr>
          <w:p w:rsidR="00F57254" w:rsidRPr="00F57254" w:rsidRDefault="00F57254" w:rsidP="00F57254">
            <w:pPr>
              <w:widowControl w:val="0"/>
              <w:autoSpaceDE w:val="0"/>
              <w:autoSpaceDN w:val="0"/>
              <w:adjustRightInd w:val="0"/>
              <w:ind w:firstLine="0"/>
              <w:rPr>
                <w:sz w:val="24"/>
                <w:szCs w:val="24"/>
              </w:rPr>
            </w:pPr>
            <w:r w:rsidRPr="00F57254">
              <w:rPr>
                <w:sz w:val="24"/>
                <w:szCs w:val="24"/>
              </w:rPr>
              <w:t>2</w:t>
            </w:r>
          </w:p>
        </w:tc>
        <w:tc>
          <w:tcPr>
            <w:tcW w:w="1025" w:type="dxa"/>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3</w:t>
            </w:r>
          </w:p>
        </w:tc>
        <w:tc>
          <w:tcPr>
            <w:tcW w:w="1149" w:type="dxa"/>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в 1,5 раза</w:t>
            </w:r>
          </w:p>
        </w:tc>
      </w:tr>
      <w:tr w:rsidR="00F57254" w:rsidRPr="00F57254" w:rsidTr="00F57254">
        <w:trPr>
          <w:trHeight w:val="285"/>
        </w:trPr>
        <w:tc>
          <w:tcPr>
            <w:tcW w:w="6422" w:type="dxa"/>
            <w:tcBorders>
              <w:bottom w:val="single" w:sz="4" w:space="0" w:color="auto"/>
            </w:tcBorders>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t>Здравоохранение и предоставление и социальных услуг</w:t>
            </w:r>
          </w:p>
        </w:tc>
        <w:tc>
          <w:tcPr>
            <w:tcW w:w="1025" w:type="dxa"/>
            <w:tcBorders>
              <w:bottom w:val="single" w:sz="4" w:space="0" w:color="auto"/>
            </w:tcBorders>
          </w:tcPr>
          <w:p w:rsidR="00F57254" w:rsidRPr="00F57254" w:rsidRDefault="00F57254" w:rsidP="00F57254">
            <w:pPr>
              <w:widowControl w:val="0"/>
              <w:autoSpaceDE w:val="0"/>
              <w:autoSpaceDN w:val="0"/>
              <w:adjustRightInd w:val="0"/>
              <w:ind w:firstLine="0"/>
              <w:rPr>
                <w:sz w:val="24"/>
                <w:szCs w:val="24"/>
              </w:rPr>
            </w:pPr>
            <w:r w:rsidRPr="00F57254">
              <w:rPr>
                <w:sz w:val="24"/>
                <w:szCs w:val="24"/>
              </w:rPr>
              <w:t>-</w:t>
            </w:r>
          </w:p>
        </w:tc>
        <w:tc>
          <w:tcPr>
            <w:tcW w:w="1025" w:type="dxa"/>
            <w:tcBorders>
              <w:bottom w:val="single" w:sz="4" w:space="0" w:color="auto"/>
            </w:tcBorders>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w:t>
            </w:r>
          </w:p>
        </w:tc>
        <w:tc>
          <w:tcPr>
            <w:tcW w:w="1149" w:type="dxa"/>
            <w:tcBorders>
              <w:bottom w:val="single" w:sz="4" w:space="0" w:color="auto"/>
            </w:tcBorders>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w:t>
            </w:r>
          </w:p>
        </w:tc>
      </w:tr>
      <w:tr w:rsidR="00F57254" w:rsidRPr="00F57254" w:rsidTr="00F57254">
        <w:trPr>
          <w:trHeight w:val="360"/>
        </w:trPr>
        <w:tc>
          <w:tcPr>
            <w:tcW w:w="6422" w:type="dxa"/>
            <w:tcBorders>
              <w:top w:val="single" w:sz="4" w:space="0" w:color="auto"/>
              <w:bottom w:val="single" w:sz="4" w:space="0" w:color="auto"/>
            </w:tcBorders>
            <w:shd w:val="clear" w:color="auto" w:fill="auto"/>
            <w:hideMark/>
          </w:tcPr>
          <w:p w:rsidR="00F57254" w:rsidRPr="00F57254" w:rsidRDefault="00F57254" w:rsidP="00F57254">
            <w:pPr>
              <w:widowControl w:val="0"/>
              <w:autoSpaceDE w:val="0"/>
              <w:autoSpaceDN w:val="0"/>
              <w:adjustRightInd w:val="0"/>
              <w:ind w:firstLine="0"/>
              <w:rPr>
                <w:sz w:val="24"/>
                <w:szCs w:val="24"/>
              </w:rPr>
            </w:pPr>
            <w:r w:rsidRPr="00F57254">
              <w:rPr>
                <w:sz w:val="24"/>
                <w:szCs w:val="24"/>
              </w:rPr>
              <w:lastRenderedPageBreak/>
              <w:t xml:space="preserve">Предоставление прочих коммунальных, социальных и персональных услуг </w:t>
            </w:r>
          </w:p>
        </w:tc>
        <w:tc>
          <w:tcPr>
            <w:tcW w:w="1025" w:type="dxa"/>
            <w:tcBorders>
              <w:top w:val="single" w:sz="4" w:space="0" w:color="auto"/>
              <w:bottom w:val="single" w:sz="4" w:space="0" w:color="auto"/>
            </w:tcBorders>
          </w:tcPr>
          <w:p w:rsidR="00F57254" w:rsidRPr="00F57254" w:rsidRDefault="00F57254" w:rsidP="00F57254">
            <w:pPr>
              <w:widowControl w:val="0"/>
              <w:autoSpaceDE w:val="0"/>
              <w:autoSpaceDN w:val="0"/>
              <w:adjustRightInd w:val="0"/>
              <w:ind w:firstLine="0"/>
              <w:rPr>
                <w:sz w:val="24"/>
                <w:szCs w:val="24"/>
              </w:rPr>
            </w:pPr>
            <w:r w:rsidRPr="00F57254">
              <w:rPr>
                <w:sz w:val="24"/>
                <w:szCs w:val="24"/>
              </w:rPr>
              <w:t>17</w:t>
            </w:r>
          </w:p>
        </w:tc>
        <w:tc>
          <w:tcPr>
            <w:tcW w:w="1025" w:type="dxa"/>
            <w:tcBorders>
              <w:top w:val="single" w:sz="4" w:space="0" w:color="auto"/>
              <w:bottom w:val="single" w:sz="4" w:space="0" w:color="auto"/>
            </w:tcBorders>
            <w:shd w:val="clear" w:color="auto" w:fill="auto"/>
            <w:noWrap/>
          </w:tcPr>
          <w:p w:rsidR="00F57254" w:rsidRPr="00F57254" w:rsidRDefault="00F57254" w:rsidP="00F57254">
            <w:pPr>
              <w:widowControl w:val="0"/>
              <w:autoSpaceDE w:val="0"/>
              <w:autoSpaceDN w:val="0"/>
              <w:adjustRightInd w:val="0"/>
              <w:ind w:firstLine="0"/>
              <w:rPr>
                <w:sz w:val="24"/>
                <w:szCs w:val="24"/>
              </w:rPr>
            </w:pPr>
            <w:r w:rsidRPr="00F57254">
              <w:rPr>
                <w:sz w:val="24"/>
                <w:szCs w:val="24"/>
              </w:rPr>
              <w:t>15</w:t>
            </w:r>
          </w:p>
        </w:tc>
        <w:tc>
          <w:tcPr>
            <w:tcW w:w="1149" w:type="dxa"/>
            <w:tcBorders>
              <w:top w:val="single" w:sz="4" w:space="0" w:color="auto"/>
              <w:bottom w:val="single" w:sz="4" w:space="0" w:color="auto"/>
            </w:tcBorders>
            <w:shd w:val="clear" w:color="auto" w:fill="auto"/>
          </w:tcPr>
          <w:p w:rsidR="00F57254" w:rsidRPr="00F57254" w:rsidRDefault="00F57254" w:rsidP="00F57254">
            <w:pPr>
              <w:widowControl w:val="0"/>
              <w:autoSpaceDE w:val="0"/>
              <w:autoSpaceDN w:val="0"/>
              <w:adjustRightInd w:val="0"/>
              <w:ind w:firstLine="0"/>
              <w:rPr>
                <w:sz w:val="24"/>
                <w:szCs w:val="24"/>
              </w:rPr>
            </w:pPr>
            <w:r w:rsidRPr="00F57254">
              <w:rPr>
                <w:sz w:val="24"/>
                <w:szCs w:val="24"/>
              </w:rPr>
              <w:t>88,2</w:t>
            </w:r>
          </w:p>
        </w:tc>
      </w:tr>
    </w:tbl>
    <w:p w:rsidR="00F57254" w:rsidRPr="00F57254" w:rsidRDefault="00F57254" w:rsidP="00F57254">
      <w:pPr>
        <w:ind w:firstLine="567"/>
        <w:jc w:val="both"/>
        <w:rPr>
          <w:rFonts w:ascii="Arial" w:hAnsi="Arial" w:cs="Arial"/>
          <w:color w:val="FF0000"/>
          <w:sz w:val="22"/>
          <w:szCs w:val="22"/>
        </w:rPr>
      </w:pPr>
    </w:p>
    <w:p w:rsidR="00F57254" w:rsidRPr="00F57254" w:rsidRDefault="00F57254" w:rsidP="00F57254">
      <w:pPr>
        <w:ind w:firstLine="567"/>
        <w:jc w:val="both"/>
        <w:textAlignment w:val="baseline"/>
        <w:rPr>
          <w:rFonts w:ascii="Arial" w:hAnsi="Arial" w:cs="Arial"/>
          <w:sz w:val="24"/>
          <w:szCs w:val="22"/>
        </w:rPr>
      </w:pPr>
      <w:r w:rsidRPr="00F57254">
        <w:rPr>
          <w:rFonts w:ascii="Arial" w:hAnsi="Arial" w:cs="Arial"/>
          <w:sz w:val="24"/>
          <w:szCs w:val="22"/>
        </w:rPr>
        <w:t>На 01 января 2021 года в сфере малого и среднего предпринимательства на территории Верхнекетского района заняты 1 937 чел., что составляет 43,4% от общей численности занятых в экономике района.</w:t>
      </w:r>
    </w:p>
    <w:p w:rsidR="00F57254" w:rsidRPr="00F57254" w:rsidRDefault="00F57254" w:rsidP="00F57254">
      <w:pPr>
        <w:ind w:firstLine="567"/>
        <w:jc w:val="both"/>
        <w:rPr>
          <w:rFonts w:ascii="Arial" w:hAnsi="Arial" w:cs="Arial"/>
          <w:sz w:val="24"/>
          <w:szCs w:val="22"/>
        </w:rPr>
      </w:pPr>
      <w:r w:rsidRPr="00F57254">
        <w:rPr>
          <w:rFonts w:ascii="Arial" w:hAnsi="Arial" w:cs="Arial"/>
          <w:sz w:val="24"/>
          <w:szCs w:val="22"/>
        </w:rPr>
        <w:t>В прогнозном периоде продолжится реализация мероприятий муниципальной программы «Улучшение инвестиционного климата, развитие промышленного комплекса, малого и среднего предпринимательства на территории Верхнекетского района на 2016-2021 годы»: оказание финансовой поддержки стартующему бизнесу путем предоставлений субсидий в рамках проведения районного конкурса «Становление», оказание информационной, консультационной поддержки субъектов малого и среднего предпринимательства и лицам, желающим заниматься предпринимательской деятельностью.</w:t>
      </w:r>
    </w:p>
    <w:p w:rsidR="00F57254" w:rsidRPr="00F57254" w:rsidRDefault="00F57254" w:rsidP="00F57254">
      <w:pPr>
        <w:ind w:firstLine="567"/>
        <w:jc w:val="both"/>
        <w:rPr>
          <w:rFonts w:ascii="Arial" w:hAnsi="Arial" w:cs="Arial"/>
          <w:sz w:val="24"/>
          <w:szCs w:val="22"/>
        </w:rPr>
      </w:pPr>
      <w:r w:rsidRPr="00F57254">
        <w:rPr>
          <w:rFonts w:ascii="Arial" w:hAnsi="Arial" w:cs="Arial"/>
          <w:sz w:val="24"/>
          <w:szCs w:val="22"/>
        </w:rPr>
        <w:t>В 2020 году на реализацию мероприятий подпрограммы было выделено из консолидированного бюджета 2121,6 тыс. рублей, что составило 125,8% к уровню 2019 года. Одним из основополагающих и финансовых мероприятий муниципальной программы  является конкур «Становление». В отчетном году было привлечено средств из областного бюджета 450,0 тыс. рублей и 50,0 тыс. рублей составили средства местного бюджета. В ходе проведения конкурса 1 проект стал победителем. В 2021 году планируется привлечь средств  из местного и областного бюджетов на 2 проекта в объеме 1 млн. рублей.</w:t>
      </w:r>
    </w:p>
    <w:p w:rsidR="00F57254" w:rsidRPr="00F57254" w:rsidRDefault="00F57254" w:rsidP="00F57254">
      <w:pPr>
        <w:tabs>
          <w:tab w:val="num" w:pos="0"/>
        </w:tabs>
        <w:ind w:firstLine="567"/>
        <w:jc w:val="both"/>
        <w:rPr>
          <w:rFonts w:ascii="Arial" w:hAnsi="Arial" w:cs="Arial"/>
          <w:sz w:val="24"/>
          <w:szCs w:val="22"/>
          <w:shd w:val="clear" w:color="auto" w:fill="FFFFFF"/>
        </w:rPr>
      </w:pPr>
      <w:r w:rsidRPr="00F57254">
        <w:rPr>
          <w:rFonts w:ascii="Arial" w:hAnsi="Arial" w:cs="Arial"/>
          <w:sz w:val="24"/>
          <w:szCs w:val="22"/>
          <w:shd w:val="clear" w:color="auto" w:fill="FFFFFF"/>
        </w:rPr>
        <w:t>Согласно прогнозу, в 2022-2024 годах продолжится динамика роста основных показателей развития малого предпринимательства.</w:t>
      </w:r>
    </w:p>
    <w:p w:rsidR="00F57254" w:rsidRPr="00F57254" w:rsidRDefault="00F57254" w:rsidP="00F57254">
      <w:pPr>
        <w:tabs>
          <w:tab w:val="num" w:pos="0"/>
        </w:tabs>
        <w:ind w:firstLine="567"/>
        <w:jc w:val="both"/>
        <w:rPr>
          <w:rFonts w:ascii="Arial" w:hAnsi="Arial" w:cs="Arial"/>
          <w:sz w:val="24"/>
          <w:szCs w:val="22"/>
          <w:shd w:val="clear" w:color="auto" w:fill="FFFFFF"/>
        </w:rPr>
      </w:pPr>
    </w:p>
    <w:p w:rsidR="00F57254" w:rsidRPr="00F57254" w:rsidRDefault="00F57254" w:rsidP="00F57254">
      <w:pPr>
        <w:widowControl w:val="0"/>
        <w:autoSpaceDE w:val="0"/>
        <w:autoSpaceDN w:val="0"/>
        <w:adjustRightInd w:val="0"/>
        <w:jc w:val="center"/>
        <w:rPr>
          <w:rFonts w:ascii="Arial" w:hAnsi="Arial" w:cs="Arial"/>
          <w:b/>
          <w:bCs/>
          <w:sz w:val="24"/>
          <w:szCs w:val="22"/>
        </w:rPr>
      </w:pPr>
      <w:r w:rsidRPr="00F57254">
        <w:rPr>
          <w:rFonts w:ascii="Arial" w:hAnsi="Arial" w:cs="Arial"/>
          <w:b/>
          <w:bCs/>
          <w:sz w:val="24"/>
          <w:szCs w:val="22"/>
        </w:rPr>
        <w:t>Финансы</w:t>
      </w:r>
    </w:p>
    <w:p w:rsidR="00F57254" w:rsidRPr="00F57254" w:rsidRDefault="00F57254" w:rsidP="00F57254">
      <w:pPr>
        <w:autoSpaceDE w:val="0"/>
        <w:autoSpaceDN w:val="0"/>
        <w:adjustRightInd w:val="0"/>
        <w:ind w:firstLine="567"/>
        <w:jc w:val="both"/>
        <w:rPr>
          <w:rFonts w:ascii="Arial" w:hAnsi="Arial" w:cs="Arial"/>
          <w:sz w:val="24"/>
          <w:szCs w:val="22"/>
        </w:rPr>
      </w:pPr>
      <w:r w:rsidRPr="00F57254">
        <w:rPr>
          <w:rFonts w:ascii="Arial" w:hAnsi="Arial" w:cs="Arial"/>
          <w:sz w:val="24"/>
          <w:szCs w:val="22"/>
        </w:rPr>
        <w:t xml:space="preserve">При разработке раздела использовались данные государственного статистического наблюдения форма № П-3 «Сведения о финансовом  состоянии организации». Под статистическое наблюдение попадают 6 предприятий района. Убыток  по крупным и средним предприятиям за 2020 год составил 25,3 млн. руб. Сальдированный финансовый результат (прибыль минус убыток) за  2020 составил  -25,3 млн. руб. Доля прибыльных организаций в общей численности организаций составила 17%. В 2020 году данный показатель складывается в большей степени из убытков МКП «БИО ТЭП» (вид деятельности - производство, передача и распределение пара и горячей воды;), который составил 12,169 млн. руб.,  МУП «Степановское» (вид деятельности - производство электроэнергии тепловыми электростанциями, в том числе деятельность по обеспечению работоспособности электростанций), который составил 7,574 млн. руб., МУП «Верхнекетский водоканал» (вид деятельности - забор, очистка и распределение воды), который составил 5,527 млн. руб. Данный финансовый результат сложился по причине низкого роста тарифов. </w:t>
      </w:r>
    </w:p>
    <w:p w:rsidR="00F57254" w:rsidRPr="00F57254" w:rsidRDefault="00F57254" w:rsidP="00F57254">
      <w:pPr>
        <w:autoSpaceDE w:val="0"/>
        <w:autoSpaceDN w:val="0"/>
        <w:adjustRightInd w:val="0"/>
        <w:ind w:firstLine="567"/>
        <w:jc w:val="both"/>
        <w:rPr>
          <w:rFonts w:ascii="Arial" w:hAnsi="Arial" w:cs="Arial"/>
          <w:sz w:val="24"/>
          <w:szCs w:val="22"/>
        </w:rPr>
      </w:pPr>
      <w:r w:rsidRPr="00F57254">
        <w:rPr>
          <w:rFonts w:ascii="Arial" w:hAnsi="Arial" w:cs="Arial"/>
          <w:sz w:val="24"/>
          <w:szCs w:val="22"/>
        </w:rPr>
        <w:t xml:space="preserve">В соответствии с постановлением Администрации Верхнекетского района в сентябре 2020 года принято решение о ликвидации МУП «Верхнекетский водоканал», назначена ликвидационная комиссия. В 2021 году принято решение о признании ликвидируемого должника банкротом и об открытии конкурсного производства, утвержден конкурсный управляющий. Имущество передано частично УРМИЗ. Одновременно в отношении МКП «БИО ТЭП» назначена ликвидационная комиссия. </w:t>
      </w:r>
      <w:r w:rsidRPr="00F57254">
        <w:rPr>
          <w:rFonts w:ascii="Arial" w:hAnsi="Arial" w:cs="Arial"/>
          <w:sz w:val="24"/>
          <w:szCs w:val="22"/>
        </w:rPr>
        <w:lastRenderedPageBreak/>
        <w:t>Рассмотрение дела о банкротстве назначено на ноябрь 2021 года в Арбитражном суде.</w:t>
      </w:r>
    </w:p>
    <w:p w:rsidR="00F57254" w:rsidRPr="00F57254" w:rsidRDefault="00F57254" w:rsidP="00F57254">
      <w:pPr>
        <w:autoSpaceDE w:val="0"/>
        <w:autoSpaceDN w:val="0"/>
        <w:adjustRightInd w:val="0"/>
        <w:ind w:firstLine="567"/>
        <w:jc w:val="both"/>
        <w:rPr>
          <w:rFonts w:ascii="Arial" w:hAnsi="Arial" w:cs="Arial"/>
          <w:sz w:val="24"/>
          <w:szCs w:val="22"/>
        </w:rPr>
      </w:pPr>
      <w:r w:rsidRPr="00F57254">
        <w:rPr>
          <w:rFonts w:ascii="Arial" w:hAnsi="Arial" w:cs="Arial"/>
          <w:sz w:val="24"/>
          <w:szCs w:val="22"/>
        </w:rPr>
        <w:t xml:space="preserve">В мае 2021 года с целью осуществления деятельности в области жилищно-коммунального хозяйства создано ООО «Комхоз». </w:t>
      </w:r>
    </w:p>
    <w:p w:rsidR="00F57254" w:rsidRPr="00F57254" w:rsidRDefault="00F57254" w:rsidP="00F57254">
      <w:pPr>
        <w:autoSpaceDE w:val="0"/>
        <w:autoSpaceDN w:val="0"/>
        <w:adjustRightInd w:val="0"/>
        <w:ind w:firstLine="567"/>
        <w:jc w:val="both"/>
        <w:rPr>
          <w:rFonts w:ascii="Arial" w:hAnsi="Arial" w:cs="Arial"/>
          <w:sz w:val="24"/>
          <w:szCs w:val="22"/>
        </w:rPr>
      </w:pPr>
      <w:r w:rsidRPr="00F57254">
        <w:rPr>
          <w:rFonts w:ascii="Arial" w:hAnsi="Arial" w:cs="Arial"/>
          <w:sz w:val="24"/>
          <w:szCs w:val="22"/>
        </w:rPr>
        <w:t xml:space="preserve">В 1 квартале 2022 года планируется ликвидация МУП «Центральная районная аптека №31». В </w:t>
      </w:r>
      <w:r w:rsidRPr="00F57254">
        <w:rPr>
          <w:rFonts w:ascii="Arial" w:hAnsi="Arial" w:cs="Arial"/>
          <w:sz w:val="24"/>
          <w:szCs w:val="24"/>
        </w:rPr>
        <w:t>целях снабжения населения,  лечебно-профилактических учреждений, предприятий и организаций лекарственными препаратами и изделиями медицинского назначения, средствами ухода, гигиены в Верхнекетском районе осуществлять деятельность планирует ООО «КСП».</w:t>
      </w:r>
    </w:p>
    <w:p w:rsidR="00F57254" w:rsidRPr="00F57254" w:rsidRDefault="00F57254" w:rsidP="00F57254">
      <w:pPr>
        <w:autoSpaceDE w:val="0"/>
        <w:autoSpaceDN w:val="0"/>
        <w:adjustRightInd w:val="0"/>
        <w:ind w:firstLine="567"/>
        <w:jc w:val="both"/>
        <w:rPr>
          <w:rFonts w:ascii="Arial" w:hAnsi="Arial" w:cs="Arial"/>
          <w:sz w:val="24"/>
          <w:szCs w:val="22"/>
        </w:rPr>
      </w:pPr>
      <w:r w:rsidRPr="00F57254">
        <w:rPr>
          <w:rFonts w:ascii="Arial" w:hAnsi="Arial" w:cs="Arial"/>
          <w:sz w:val="24"/>
          <w:szCs w:val="22"/>
        </w:rPr>
        <w:t>На 1 января 2021 года дебиторская задолженность крупный и средних предприятий составила 27402 тыс. руб. Кредиторская задолженность на 1 января 2021 года составила 99716 тыс. руб.</w:t>
      </w:r>
    </w:p>
    <w:p w:rsidR="00F57254" w:rsidRPr="00F57254" w:rsidRDefault="00F57254" w:rsidP="00F57254">
      <w:pPr>
        <w:widowControl w:val="0"/>
        <w:autoSpaceDE w:val="0"/>
        <w:autoSpaceDN w:val="0"/>
        <w:adjustRightInd w:val="0"/>
        <w:ind w:firstLine="567"/>
        <w:jc w:val="both"/>
        <w:rPr>
          <w:rFonts w:ascii="Arial" w:hAnsi="Arial" w:cs="Arial"/>
          <w:bCs/>
          <w:sz w:val="24"/>
          <w:szCs w:val="22"/>
        </w:rPr>
      </w:pPr>
      <w:r w:rsidRPr="00F57254">
        <w:rPr>
          <w:rFonts w:ascii="Arial" w:hAnsi="Arial" w:cs="Arial"/>
          <w:bCs/>
          <w:sz w:val="24"/>
          <w:szCs w:val="22"/>
        </w:rPr>
        <w:t>Приоритетными направлениями в управлении МУП в 2021-2024 годы будет анализ расходов на предмет их эффективности, обоснованности и минимизации.</w:t>
      </w:r>
    </w:p>
    <w:p w:rsidR="00F57254" w:rsidRPr="00F57254" w:rsidRDefault="00F57254" w:rsidP="00F57254">
      <w:pPr>
        <w:widowControl w:val="0"/>
        <w:autoSpaceDE w:val="0"/>
        <w:autoSpaceDN w:val="0"/>
        <w:adjustRightInd w:val="0"/>
        <w:jc w:val="both"/>
        <w:rPr>
          <w:rFonts w:ascii="Arial" w:hAnsi="Arial" w:cs="Arial"/>
          <w:bCs/>
          <w:sz w:val="24"/>
          <w:szCs w:val="22"/>
        </w:rPr>
      </w:pPr>
    </w:p>
    <w:p w:rsidR="00F57254" w:rsidRPr="00F57254" w:rsidRDefault="00F57254" w:rsidP="00F57254">
      <w:pPr>
        <w:widowControl w:val="0"/>
        <w:autoSpaceDE w:val="0"/>
        <w:autoSpaceDN w:val="0"/>
        <w:adjustRightInd w:val="0"/>
        <w:jc w:val="center"/>
        <w:rPr>
          <w:rFonts w:ascii="Arial" w:hAnsi="Arial" w:cs="Arial"/>
          <w:b/>
          <w:bCs/>
          <w:sz w:val="24"/>
          <w:szCs w:val="22"/>
        </w:rPr>
      </w:pPr>
      <w:r w:rsidRPr="00F57254">
        <w:rPr>
          <w:rFonts w:ascii="Arial" w:hAnsi="Arial" w:cs="Arial"/>
          <w:b/>
          <w:bCs/>
          <w:sz w:val="24"/>
          <w:szCs w:val="22"/>
        </w:rPr>
        <w:t>Население</w:t>
      </w:r>
    </w:p>
    <w:p w:rsidR="00F57254" w:rsidRPr="00F57254" w:rsidRDefault="00F57254" w:rsidP="00F57254">
      <w:pPr>
        <w:widowControl w:val="0"/>
        <w:autoSpaceDE w:val="0"/>
        <w:autoSpaceDN w:val="0"/>
        <w:adjustRightInd w:val="0"/>
        <w:jc w:val="center"/>
        <w:rPr>
          <w:rFonts w:ascii="Arial" w:hAnsi="Arial" w:cs="Arial"/>
          <w:b/>
          <w:bCs/>
          <w:sz w:val="24"/>
          <w:szCs w:val="22"/>
        </w:rPr>
      </w:pPr>
    </w:p>
    <w:p w:rsidR="00F57254" w:rsidRPr="00F57254" w:rsidRDefault="00F57254" w:rsidP="00F57254">
      <w:pPr>
        <w:jc w:val="both"/>
        <w:rPr>
          <w:rFonts w:ascii="Arial" w:hAnsi="Arial" w:cs="Arial"/>
          <w:sz w:val="24"/>
          <w:szCs w:val="22"/>
        </w:rPr>
      </w:pPr>
      <w:r w:rsidRPr="00F57254">
        <w:rPr>
          <w:rFonts w:ascii="Arial" w:hAnsi="Arial" w:cs="Arial"/>
          <w:sz w:val="24"/>
          <w:szCs w:val="22"/>
        </w:rPr>
        <w:t xml:space="preserve">Для достижения одной из поставленных в Стратегии целей «Повышение качества жизни населения и развитие социальной сферы Верхнекетского района» в декабре 2015 года утверждена муниципальная программа «Развитие комфортной социальной среды Верхнекетского района на 2016-2021 годы», одной из задач которой является улучшение демографической ситуации в районе.  </w:t>
      </w:r>
    </w:p>
    <w:p w:rsidR="00F57254" w:rsidRPr="00F57254" w:rsidRDefault="00F57254" w:rsidP="00F57254">
      <w:pPr>
        <w:jc w:val="both"/>
        <w:rPr>
          <w:rFonts w:ascii="Arial" w:hAnsi="Arial" w:cs="Arial"/>
          <w:sz w:val="24"/>
          <w:szCs w:val="22"/>
        </w:rPr>
      </w:pPr>
      <w:r w:rsidRPr="00F57254">
        <w:rPr>
          <w:rFonts w:ascii="Arial" w:hAnsi="Arial" w:cs="Arial"/>
          <w:sz w:val="24"/>
          <w:szCs w:val="22"/>
        </w:rPr>
        <w:t>По данным государственной службы статистики  на 1 января 2020 года на территории района проживало 15 761 человек. На 1 января 2021 года  численность  постоянного населения района составляла 15678 человек (снижение численности населения за 2020 год на 0,5%). Наблюдается  снижение темпа убыли общей численности населения района, относительно предыдущих лет. Среднегодовая численность населения в 2020 году составляет 15720 человек. Снижение численности населения, обусловленное естественной убылью (-83 человека), частично компенсируется миграционным притоком населения (+2</w:t>
      </w:r>
      <w:r w:rsidRPr="00F57254">
        <w:rPr>
          <w:rFonts w:ascii="Arial" w:hAnsi="Arial" w:cs="Arial"/>
          <w:color w:val="FF0000"/>
          <w:sz w:val="24"/>
          <w:szCs w:val="22"/>
        </w:rPr>
        <w:t xml:space="preserve"> </w:t>
      </w:r>
      <w:r w:rsidRPr="00F57254">
        <w:rPr>
          <w:rFonts w:ascii="Arial" w:hAnsi="Arial" w:cs="Arial"/>
          <w:sz w:val="24"/>
          <w:szCs w:val="22"/>
        </w:rPr>
        <w:t>человека). По итогам 2020 года сохраняются напряженные тенденции, связанные с низкой рождаемостью.</w:t>
      </w:r>
    </w:p>
    <w:p w:rsidR="00F57254" w:rsidRPr="00F57254" w:rsidRDefault="00F57254" w:rsidP="00F57254">
      <w:pPr>
        <w:jc w:val="both"/>
        <w:rPr>
          <w:rFonts w:ascii="Arial" w:hAnsi="Arial" w:cs="Arial"/>
          <w:sz w:val="24"/>
          <w:szCs w:val="22"/>
        </w:rPr>
      </w:pPr>
      <w:r w:rsidRPr="00F57254">
        <w:rPr>
          <w:rFonts w:ascii="Arial" w:hAnsi="Arial" w:cs="Arial"/>
          <w:sz w:val="24"/>
          <w:szCs w:val="22"/>
        </w:rPr>
        <w:t>По-прежнему тренд на снижение рождаемости определяют факторы, заложенные прошлыми периодами. Сейчас семьи создают малочисленные поколения 90-х годов, что определяет текущую демографическую ситуацию.</w:t>
      </w:r>
    </w:p>
    <w:p w:rsidR="00F57254" w:rsidRPr="00F57254" w:rsidRDefault="00F57254" w:rsidP="00F57254">
      <w:pPr>
        <w:jc w:val="both"/>
        <w:rPr>
          <w:rFonts w:ascii="Arial" w:hAnsi="Arial" w:cs="Arial"/>
          <w:sz w:val="24"/>
          <w:szCs w:val="22"/>
        </w:rPr>
      </w:pPr>
      <w:r w:rsidRPr="00F57254">
        <w:rPr>
          <w:rFonts w:ascii="Arial" w:hAnsi="Arial" w:cs="Arial"/>
          <w:sz w:val="24"/>
          <w:szCs w:val="22"/>
        </w:rPr>
        <w:t>Численность населения трудоспособного возраста (мужчины в возрасте 16-59 лет, женщины в возрасте 16-54 года, за исключением инвалидов 1 и 2 групп, а также неработающих лиц трудоспособного возраста, получающих пенсию) на 01.01.2021 года составляет 8617 человека (55% от общей численности населения).</w:t>
      </w:r>
    </w:p>
    <w:p w:rsidR="00F57254" w:rsidRPr="00F57254" w:rsidRDefault="00F57254" w:rsidP="00F57254">
      <w:pPr>
        <w:jc w:val="both"/>
        <w:rPr>
          <w:rFonts w:ascii="Arial" w:hAnsi="Arial" w:cs="Arial"/>
          <w:sz w:val="24"/>
          <w:szCs w:val="22"/>
        </w:rPr>
      </w:pPr>
      <w:r w:rsidRPr="00F57254">
        <w:rPr>
          <w:rFonts w:ascii="Arial" w:hAnsi="Arial" w:cs="Arial"/>
          <w:sz w:val="24"/>
          <w:szCs w:val="22"/>
        </w:rPr>
        <w:t>В результате реализации мероприятий пенсионной реформы, в связи с поэтапным увеличением пенсионного возраста, изменилась демографическая возрастная структура населения. При одновременном сокращении доли населения старше трудоспособного возраста (на 13,7% в 2019 году) произошло увеличение доли лиц трудоспособного возраста (на 4,9% в 2019 году).</w:t>
      </w:r>
    </w:p>
    <w:p w:rsidR="00F57254" w:rsidRPr="00F57254" w:rsidRDefault="00F57254" w:rsidP="00F57254">
      <w:pPr>
        <w:jc w:val="both"/>
        <w:rPr>
          <w:rFonts w:ascii="Arial" w:hAnsi="Arial" w:cs="Arial"/>
          <w:sz w:val="24"/>
          <w:szCs w:val="22"/>
        </w:rPr>
      </w:pPr>
      <w:r w:rsidRPr="00F57254">
        <w:rPr>
          <w:rFonts w:ascii="Arial" w:hAnsi="Arial" w:cs="Arial"/>
          <w:sz w:val="24"/>
          <w:szCs w:val="22"/>
        </w:rPr>
        <w:t xml:space="preserve">В прогнозируемом периоде, по предварительным оценкам, миграционные потоки характеризуются около нулевым сальдо миграции с сохранением сложившейся структуры: увеличением численности городского и снижением численности сельского населения. При консервативном варианте прогноза наблюдается естественная убыль населения, связанная, прежде всего, с исторически сложившимися факторами («демографические ямы»), а также с неблагоприятной эпидемиологической ситуацией. При базовом и целевом вариантах прогноза естественная убыль будет стремиться к нулю за счет повышения уровня рождаемости, снижения смертности и увеличения продолжительности жизни, как </w:t>
      </w:r>
      <w:r w:rsidRPr="00F57254">
        <w:rPr>
          <w:rFonts w:ascii="Arial" w:hAnsi="Arial" w:cs="Arial"/>
          <w:sz w:val="24"/>
          <w:szCs w:val="22"/>
        </w:rPr>
        <w:lastRenderedPageBreak/>
        <w:t xml:space="preserve">результат внедрения и реализации государственных программ по улучшению качества жизни населения. </w:t>
      </w:r>
    </w:p>
    <w:p w:rsidR="00F57254" w:rsidRPr="00F57254" w:rsidRDefault="00F57254" w:rsidP="00F57254">
      <w:pPr>
        <w:jc w:val="both"/>
        <w:rPr>
          <w:rFonts w:ascii="Arial" w:hAnsi="Arial" w:cs="Arial"/>
          <w:sz w:val="24"/>
          <w:szCs w:val="22"/>
        </w:rPr>
      </w:pPr>
    </w:p>
    <w:p w:rsidR="00F57254" w:rsidRPr="00F57254" w:rsidRDefault="00F57254" w:rsidP="00F57254">
      <w:pPr>
        <w:widowControl w:val="0"/>
        <w:autoSpaceDE w:val="0"/>
        <w:autoSpaceDN w:val="0"/>
        <w:adjustRightInd w:val="0"/>
        <w:jc w:val="center"/>
        <w:rPr>
          <w:rFonts w:ascii="Arial" w:hAnsi="Arial" w:cs="Arial"/>
          <w:b/>
          <w:bCs/>
          <w:sz w:val="24"/>
          <w:szCs w:val="22"/>
        </w:rPr>
      </w:pPr>
      <w:r w:rsidRPr="00F57254">
        <w:rPr>
          <w:rFonts w:ascii="Arial" w:hAnsi="Arial" w:cs="Arial"/>
          <w:b/>
          <w:bCs/>
          <w:sz w:val="24"/>
          <w:szCs w:val="22"/>
        </w:rPr>
        <w:t>Труд и занятость</w:t>
      </w:r>
    </w:p>
    <w:p w:rsidR="00F57254" w:rsidRPr="00F57254" w:rsidRDefault="00F57254" w:rsidP="00F57254">
      <w:pPr>
        <w:autoSpaceDE w:val="0"/>
        <w:autoSpaceDN w:val="0"/>
        <w:adjustRightInd w:val="0"/>
        <w:ind w:firstLine="720"/>
        <w:jc w:val="both"/>
        <w:rPr>
          <w:rFonts w:ascii="Arial" w:hAnsi="Arial" w:cs="Arial"/>
          <w:sz w:val="24"/>
          <w:szCs w:val="22"/>
        </w:rPr>
      </w:pPr>
      <w:r w:rsidRPr="00F57254">
        <w:rPr>
          <w:rFonts w:ascii="Arial" w:hAnsi="Arial" w:cs="Arial"/>
          <w:sz w:val="24"/>
          <w:szCs w:val="22"/>
        </w:rPr>
        <w:t>Численность экономически активного населения (население в возрасте от 15 до 72 лет) на 31 декабря 2020 года составляет 9400 чел. или 60% от численности постоянного населения района.</w:t>
      </w:r>
    </w:p>
    <w:p w:rsidR="00F57254" w:rsidRPr="00F57254" w:rsidRDefault="00F57254" w:rsidP="00F57254">
      <w:pPr>
        <w:autoSpaceDE w:val="0"/>
        <w:autoSpaceDN w:val="0"/>
        <w:adjustRightInd w:val="0"/>
        <w:ind w:firstLine="720"/>
        <w:jc w:val="both"/>
        <w:rPr>
          <w:rFonts w:ascii="Arial" w:hAnsi="Arial" w:cs="Arial"/>
          <w:sz w:val="24"/>
          <w:szCs w:val="22"/>
        </w:rPr>
      </w:pPr>
      <w:r w:rsidRPr="00F57254">
        <w:rPr>
          <w:rFonts w:ascii="Arial" w:hAnsi="Arial" w:cs="Arial"/>
          <w:sz w:val="24"/>
          <w:szCs w:val="22"/>
        </w:rPr>
        <w:t>Численность занятого населения на 01.01.2021 года составляет 4464 человек (на 01.01.2020 года 4190 человек). Численность работников крупных и средних предприятий составила на 01.01.2021 года – 2083 человек. В государственных и муниципальных организациях трудится 2420 человек, в организациях частной формы собственности 1955 человека и 7 человек заняты в общественных организациях. Количество зарегистрированных самозанятых граждан составляет 82 человека.</w:t>
      </w:r>
    </w:p>
    <w:p w:rsidR="00F57254" w:rsidRPr="00F57254" w:rsidRDefault="00F57254" w:rsidP="00F57254">
      <w:pPr>
        <w:autoSpaceDE w:val="0"/>
        <w:autoSpaceDN w:val="0"/>
        <w:adjustRightInd w:val="0"/>
        <w:ind w:firstLine="720"/>
        <w:jc w:val="both"/>
        <w:rPr>
          <w:rFonts w:ascii="Arial" w:hAnsi="Arial" w:cs="Arial"/>
          <w:sz w:val="24"/>
          <w:szCs w:val="22"/>
        </w:rPr>
      </w:pPr>
      <w:r w:rsidRPr="00F57254">
        <w:rPr>
          <w:rFonts w:ascii="Arial" w:hAnsi="Arial" w:cs="Arial"/>
          <w:sz w:val="24"/>
          <w:szCs w:val="22"/>
        </w:rPr>
        <w:t>Среднемесячная заработная плата по организациям, не относящимся к субъектам малого предпринимательства, выросла на 4,4% и составила 41 829,6 рублей на одного работающего, в том числе по отраслям: образование – 36840,2 (темп роста к 2019 году 105,1 %), деятельность в области здравоохранения и социальных услуг – 42313,1 рублей (темп роста к 2019 году 106,7 %).</w:t>
      </w:r>
    </w:p>
    <w:p w:rsidR="00F57254" w:rsidRPr="00F57254" w:rsidRDefault="00F57254" w:rsidP="00F57254">
      <w:pPr>
        <w:autoSpaceDE w:val="0"/>
        <w:autoSpaceDN w:val="0"/>
        <w:adjustRightInd w:val="0"/>
        <w:ind w:firstLine="720"/>
        <w:jc w:val="both"/>
        <w:rPr>
          <w:rFonts w:ascii="Arial" w:hAnsi="Arial" w:cs="Arial"/>
          <w:sz w:val="24"/>
          <w:szCs w:val="22"/>
        </w:rPr>
      </w:pPr>
      <w:r w:rsidRPr="00F57254">
        <w:rPr>
          <w:rFonts w:ascii="Arial" w:hAnsi="Arial" w:cs="Arial"/>
          <w:sz w:val="24"/>
          <w:szCs w:val="22"/>
        </w:rPr>
        <w:t>Важным показателем, характеризующим уровень жизни населения остается на сегодня увеличение реальных денежных доходов на душу населения и среднемесячной начисленной заработной платы. Средняя заработная плата по Верхнекетскому району по кругу крупных и средних предприятий за 1 полугодие 2021 года составила 45 788,6 рублей, что показывает темп роста 104,9% относительно соответствующего периода прошлого года и 109,5% среднегодовому значению 2020 года.</w:t>
      </w:r>
    </w:p>
    <w:p w:rsidR="00F57254" w:rsidRPr="00F57254" w:rsidRDefault="00F57254" w:rsidP="00F57254">
      <w:pPr>
        <w:autoSpaceDE w:val="0"/>
        <w:autoSpaceDN w:val="0"/>
        <w:adjustRightInd w:val="0"/>
        <w:ind w:firstLine="720"/>
        <w:jc w:val="both"/>
        <w:rPr>
          <w:rFonts w:ascii="Arial" w:hAnsi="Arial" w:cs="Arial"/>
          <w:sz w:val="24"/>
          <w:szCs w:val="22"/>
        </w:rPr>
      </w:pPr>
      <w:r w:rsidRPr="00F57254">
        <w:rPr>
          <w:rFonts w:ascii="Arial" w:hAnsi="Arial" w:cs="Arial"/>
          <w:sz w:val="24"/>
          <w:szCs w:val="22"/>
        </w:rPr>
        <w:t xml:space="preserve">Показатели на 2022-2024 годы по номинальной начисленной среднемесячной заработной плате работников организаций спрогнозированы в соответствии с утвержденными темпами роста в сценарных условиях. </w:t>
      </w:r>
    </w:p>
    <w:p w:rsidR="00F57254" w:rsidRPr="00F57254" w:rsidRDefault="00F57254" w:rsidP="00F57254">
      <w:pPr>
        <w:autoSpaceDE w:val="0"/>
        <w:autoSpaceDN w:val="0"/>
        <w:adjustRightInd w:val="0"/>
        <w:ind w:firstLine="720"/>
        <w:jc w:val="both"/>
        <w:rPr>
          <w:rFonts w:ascii="Arial" w:hAnsi="Arial" w:cs="Arial"/>
          <w:sz w:val="24"/>
          <w:szCs w:val="22"/>
        </w:rPr>
      </w:pPr>
      <w:r w:rsidRPr="00F57254">
        <w:rPr>
          <w:rFonts w:ascii="Arial" w:hAnsi="Arial" w:cs="Arial"/>
          <w:sz w:val="24"/>
          <w:szCs w:val="22"/>
        </w:rPr>
        <w:t>По состоянию на 31 декабря 2020 года статус безработных граждан имели 366 человек (в 2019 году – 207 человек). Уровень регистрируемой безработицы за 2020 год увеличился на 1,75 процентных пункта и составил 3,85 % от числа экономически активного населения района. За 2020 год трудоустроены 343 человека, из них по направлению службы занятости 155 человек. Рост уровня регистрируемой безработицы в 2020 году произошел в связи с увеличением</w:t>
      </w:r>
      <w:r w:rsidRPr="00F57254">
        <w:rPr>
          <w:rFonts w:ascii="Arial" w:hAnsi="Arial" w:cs="Arial"/>
          <w:sz w:val="24"/>
          <w:szCs w:val="22"/>
        </w:rPr>
        <w:tab/>
        <w:t>численности зарегистрированных безработных граждан. Помимо пандемических и экономических факторов, на рост показателя повлияло увеличение в 2020 году максимального и минимального размеров пособия по безработице, начисление дополнительных выплат безработным гражданам за детей, упрощение порядка регистрации безработных граждан (разрешение подачи необходимых документов в удаленном режиме через портал «Работа в России»).</w:t>
      </w:r>
    </w:p>
    <w:p w:rsidR="00F57254" w:rsidRPr="00F57254" w:rsidRDefault="00F57254" w:rsidP="00F57254">
      <w:pPr>
        <w:autoSpaceDE w:val="0"/>
        <w:autoSpaceDN w:val="0"/>
        <w:adjustRightInd w:val="0"/>
        <w:ind w:firstLine="720"/>
        <w:jc w:val="both"/>
        <w:rPr>
          <w:rFonts w:ascii="Arial" w:hAnsi="Arial" w:cs="Arial"/>
          <w:sz w:val="24"/>
          <w:szCs w:val="22"/>
        </w:rPr>
      </w:pPr>
      <w:r w:rsidRPr="00F57254">
        <w:rPr>
          <w:rFonts w:ascii="Arial" w:hAnsi="Arial" w:cs="Arial"/>
          <w:sz w:val="24"/>
          <w:szCs w:val="22"/>
        </w:rPr>
        <w:t>Уровень регистрируемой безработицы на 01.10.2021 составляет 2,12% от числа экономически активного населения района. По состоянию на 1 октября 2021 года статус безработных граждан имели 201 человек.</w:t>
      </w:r>
    </w:p>
    <w:p w:rsidR="00F57254" w:rsidRPr="00F57254" w:rsidRDefault="00F57254" w:rsidP="00F57254">
      <w:pPr>
        <w:autoSpaceDE w:val="0"/>
        <w:autoSpaceDN w:val="0"/>
        <w:adjustRightInd w:val="0"/>
        <w:ind w:firstLine="720"/>
        <w:jc w:val="both"/>
        <w:rPr>
          <w:rFonts w:ascii="Arial" w:hAnsi="Arial" w:cs="Arial"/>
          <w:sz w:val="24"/>
          <w:szCs w:val="22"/>
        </w:rPr>
      </w:pPr>
      <w:r w:rsidRPr="00F57254">
        <w:rPr>
          <w:rFonts w:ascii="Arial" w:hAnsi="Arial" w:cs="Arial"/>
          <w:sz w:val="24"/>
          <w:szCs w:val="22"/>
        </w:rPr>
        <w:t>В 2020 году разработан комплекс мероприятий восстановления (план) до уровня 2019 года численности занятого населения к четвертому кварталу 2021 года. В результате проведения мероприятий плана ожидается не только его выполнение по итогам 2021 года, но и сохранение в прогнозе на 2022-2024 годы утвержденных показателей.</w:t>
      </w:r>
    </w:p>
    <w:p w:rsidR="00F57254" w:rsidRPr="00F57254" w:rsidRDefault="00F57254" w:rsidP="00F57254">
      <w:pPr>
        <w:widowControl w:val="0"/>
        <w:autoSpaceDE w:val="0"/>
        <w:autoSpaceDN w:val="0"/>
        <w:adjustRightInd w:val="0"/>
        <w:jc w:val="both"/>
        <w:rPr>
          <w:rFonts w:ascii="Arial" w:hAnsi="Arial" w:cs="Arial"/>
          <w:sz w:val="24"/>
          <w:szCs w:val="22"/>
        </w:rPr>
      </w:pPr>
      <w:r w:rsidRPr="00F57254">
        <w:rPr>
          <w:rFonts w:ascii="Arial" w:hAnsi="Arial" w:cs="Arial"/>
          <w:sz w:val="24"/>
          <w:szCs w:val="22"/>
        </w:rPr>
        <w:t xml:space="preserve">В 2020 год фонд оплаты труда на предприятиях и организациях всех форм собственности составил 1418,1 млн. рублей. Фонд заработной платы определен по полному кругу организаций, на основе полученных данных о поступлении налога на доходы физических лиц, предоставленных социальных вычетов на образование и </w:t>
      </w:r>
      <w:r w:rsidRPr="00F57254">
        <w:rPr>
          <w:rFonts w:ascii="Arial" w:hAnsi="Arial" w:cs="Arial"/>
          <w:sz w:val="24"/>
          <w:szCs w:val="22"/>
        </w:rPr>
        <w:lastRenderedPageBreak/>
        <w:t xml:space="preserve">лечение, имущественных вычетов и необлагаемых доходах. </w:t>
      </w:r>
    </w:p>
    <w:p w:rsidR="00F57254" w:rsidRPr="00F57254" w:rsidRDefault="00F57254" w:rsidP="00F57254">
      <w:pPr>
        <w:widowControl w:val="0"/>
        <w:autoSpaceDE w:val="0"/>
        <w:autoSpaceDN w:val="0"/>
        <w:adjustRightInd w:val="0"/>
        <w:jc w:val="both"/>
        <w:rPr>
          <w:rFonts w:ascii="Arial" w:hAnsi="Arial" w:cs="Arial"/>
          <w:spacing w:val="-2"/>
          <w:sz w:val="24"/>
          <w:szCs w:val="22"/>
        </w:rPr>
      </w:pPr>
      <w:r w:rsidRPr="00F57254">
        <w:rPr>
          <w:rFonts w:ascii="Arial" w:hAnsi="Arial" w:cs="Arial"/>
          <w:sz w:val="24"/>
          <w:szCs w:val="22"/>
        </w:rPr>
        <w:t xml:space="preserve">Фонд оплаты труда является основной составляющей доходов населения, а также одним из основных бюджетообразующих показателей. При расчете ожидаемого ФОТ на 2021 и прогнозный период проведен анализ состояния малых и средних предприятий, зарегистрированных на территории Верхнекетского  района, а также сведения о поступлениях и начислениях налога на доходы физических лиц всех работодателей-налогоплательщиков. В базовом варианте ФОТ спрогнозирован с учетом динамики поступления НДФЛ, налоговых вычетов и прогнозных данных от крупнейших налогоплательщиков НДФЛ. В консервативном и целевом вариантах ФОТ спрогнозирован </w:t>
      </w:r>
      <w:r w:rsidRPr="00F57254">
        <w:rPr>
          <w:rFonts w:ascii="Arial" w:hAnsi="Arial" w:cs="Arial"/>
          <w:spacing w:val="-2"/>
          <w:sz w:val="24"/>
          <w:szCs w:val="22"/>
        </w:rPr>
        <w:t>с учетом индекса-дефлятора на соответствующие периоды.</w:t>
      </w:r>
    </w:p>
    <w:p w:rsidR="00F57254" w:rsidRPr="00F57254" w:rsidRDefault="00F57254" w:rsidP="00F57254">
      <w:pPr>
        <w:widowControl w:val="0"/>
        <w:autoSpaceDE w:val="0"/>
        <w:autoSpaceDN w:val="0"/>
        <w:spacing w:line="276" w:lineRule="auto"/>
        <w:ind w:firstLine="0"/>
        <w:rPr>
          <w:rFonts w:ascii="Arial" w:hAnsi="Arial" w:cs="Arial"/>
          <w:b/>
          <w:sz w:val="24"/>
          <w:szCs w:val="24"/>
          <w:lang w:eastAsia="en-US"/>
        </w:rPr>
      </w:pPr>
    </w:p>
    <w:p w:rsidR="005203B8" w:rsidRPr="00D72FF1" w:rsidRDefault="005203B8" w:rsidP="005203B8">
      <w:pPr>
        <w:widowControl w:val="0"/>
        <w:autoSpaceDE w:val="0"/>
        <w:autoSpaceDN w:val="0"/>
        <w:adjustRightInd w:val="0"/>
        <w:ind w:firstLine="0"/>
        <w:jc w:val="both"/>
        <w:rPr>
          <w:sz w:val="20"/>
        </w:rPr>
      </w:pPr>
    </w:p>
    <w:p w:rsidR="005203B8" w:rsidRPr="00D72FF1" w:rsidRDefault="005203B8" w:rsidP="009C6D5B">
      <w:pPr>
        <w:widowControl w:val="0"/>
        <w:autoSpaceDE w:val="0"/>
        <w:autoSpaceDN w:val="0"/>
        <w:adjustRightInd w:val="0"/>
        <w:ind w:firstLine="0"/>
        <w:jc w:val="center"/>
        <w:rPr>
          <w:rFonts w:ascii="Arial" w:hAnsi="Arial" w:cs="Arial"/>
          <w:sz w:val="20"/>
        </w:rPr>
      </w:pPr>
    </w:p>
    <w:p w:rsidR="00806142" w:rsidRPr="00D72FF1" w:rsidRDefault="00806142" w:rsidP="00DB4B0E">
      <w:pPr>
        <w:pStyle w:val="ConsPlusTitle"/>
        <w:spacing w:line="276" w:lineRule="auto"/>
        <w:rPr>
          <w:rFonts w:ascii="Arial" w:hAnsi="Arial" w:cs="Arial"/>
          <w:sz w:val="24"/>
          <w:szCs w:val="24"/>
          <w:lang w:eastAsia="en-US"/>
        </w:rPr>
      </w:pPr>
    </w:p>
    <w:p w:rsidR="00B91BFE" w:rsidRPr="00D72FF1" w:rsidRDefault="00B91BFE">
      <w:pPr>
        <w:ind w:firstLine="0"/>
      </w:pPr>
    </w:p>
    <w:p w:rsidR="00571A22" w:rsidRPr="00D72FF1" w:rsidRDefault="00571A22">
      <w:pPr>
        <w:ind w:firstLine="0"/>
      </w:pPr>
    </w:p>
    <w:p w:rsidR="00571A22" w:rsidRPr="00D72FF1" w:rsidRDefault="00571A22">
      <w:pPr>
        <w:ind w:firstLine="0"/>
      </w:pPr>
    </w:p>
    <w:p w:rsidR="00571A22" w:rsidRPr="00D72FF1" w:rsidRDefault="00571A22">
      <w:pPr>
        <w:ind w:firstLine="0"/>
      </w:pPr>
    </w:p>
    <w:p w:rsidR="00571A22" w:rsidRPr="00D72FF1" w:rsidRDefault="00571A22">
      <w:pPr>
        <w:ind w:firstLine="0"/>
      </w:pPr>
    </w:p>
    <w:p w:rsidR="00571A22" w:rsidRPr="00D72FF1" w:rsidRDefault="00571A22">
      <w:pPr>
        <w:ind w:firstLine="0"/>
      </w:pPr>
    </w:p>
    <w:p w:rsidR="00571A22" w:rsidRPr="00D72FF1" w:rsidRDefault="00571A22">
      <w:pPr>
        <w:ind w:firstLine="0"/>
      </w:pPr>
    </w:p>
    <w:p w:rsidR="00571A22" w:rsidRPr="00D72FF1" w:rsidRDefault="00571A22">
      <w:pPr>
        <w:ind w:firstLine="0"/>
        <w:sectPr w:rsidR="00571A22" w:rsidRPr="00D72FF1" w:rsidSect="00F57254">
          <w:pgSz w:w="11906" w:h="16838"/>
          <w:pgMar w:top="1134" w:right="707" w:bottom="1134" w:left="1418" w:header="708" w:footer="266" w:gutter="0"/>
          <w:pgNumType w:start="1"/>
          <w:cols w:space="708"/>
          <w:titlePg/>
          <w:docGrid w:linePitch="360"/>
        </w:sectPr>
      </w:pPr>
    </w:p>
    <w:tbl>
      <w:tblPr>
        <w:tblW w:w="5000" w:type="pct"/>
        <w:tblLook w:val="04A0" w:firstRow="1" w:lastRow="0" w:firstColumn="1" w:lastColumn="0" w:noHBand="0" w:noVBand="1"/>
      </w:tblPr>
      <w:tblGrid>
        <w:gridCol w:w="1900"/>
        <w:gridCol w:w="1511"/>
        <w:gridCol w:w="613"/>
        <w:gridCol w:w="701"/>
        <w:gridCol w:w="716"/>
        <w:gridCol w:w="1437"/>
        <w:gridCol w:w="851"/>
        <w:gridCol w:w="827"/>
        <w:gridCol w:w="1437"/>
        <w:gridCol w:w="851"/>
        <w:gridCol w:w="827"/>
        <w:gridCol w:w="1437"/>
        <w:gridCol w:w="851"/>
        <w:gridCol w:w="827"/>
      </w:tblGrid>
      <w:tr w:rsidR="00F57254" w:rsidRPr="00E74D19" w:rsidTr="00E74D19">
        <w:trPr>
          <w:trHeight w:val="405"/>
        </w:trPr>
        <w:tc>
          <w:tcPr>
            <w:tcW w:w="5000" w:type="pct"/>
            <w:gridSpan w:val="14"/>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bCs/>
                <w:sz w:val="24"/>
                <w:szCs w:val="24"/>
              </w:rPr>
            </w:pPr>
            <w:r w:rsidRPr="00E74D19">
              <w:rPr>
                <w:rFonts w:ascii="Arial" w:hAnsi="Arial" w:cs="Arial"/>
                <w:bCs/>
                <w:sz w:val="24"/>
                <w:szCs w:val="24"/>
              </w:rPr>
              <w:lastRenderedPageBreak/>
              <w:t>Приложение</w:t>
            </w:r>
          </w:p>
        </w:tc>
      </w:tr>
      <w:tr w:rsidR="00F57254" w:rsidRPr="00E74D19" w:rsidTr="00E74D19">
        <w:trPr>
          <w:trHeight w:val="2055"/>
        </w:trPr>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bCs/>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1786" w:type="pct"/>
            <w:gridSpan w:val="5"/>
            <w:tcBorders>
              <w:top w:val="nil"/>
              <w:left w:val="nil"/>
              <w:bottom w:val="nil"/>
              <w:right w:val="nil"/>
            </w:tcBorders>
            <w:shd w:val="clear" w:color="auto" w:fill="auto"/>
            <w:vAlign w:val="center"/>
            <w:hideMark/>
          </w:tcPr>
          <w:p w:rsidR="00F57254" w:rsidRPr="00E74D19" w:rsidRDefault="00F57254" w:rsidP="00F57254">
            <w:pPr>
              <w:ind w:firstLine="0"/>
              <w:jc w:val="center"/>
              <w:rPr>
                <w:rFonts w:ascii="Arial" w:hAnsi="Arial" w:cs="Arial"/>
                <w:bCs/>
                <w:sz w:val="24"/>
                <w:szCs w:val="24"/>
              </w:rPr>
            </w:pPr>
            <w:r w:rsidRPr="00E74D19">
              <w:rPr>
                <w:rFonts w:ascii="Arial" w:hAnsi="Arial" w:cs="Arial"/>
                <w:bCs/>
                <w:sz w:val="24"/>
                <w:szCs w:val="24"/>
              </w:rPr>
              <w:t>УТВЕРЖДЕН</w:t>
            </w:r>
            <w:r w:rsidRPr="00E74D19">
              <w:rPr>
                <w:rFonts w:ascii="Arial" w:hAnsi="Arial" w:cs="Arial"/>
                <w:bCs/>
                <w:sz w:val="24"/>
                <w:szCs w:val="24"/>
              </w:rPr>
              <w:br/>
              <w:t>постановлением Администр</w:t>
            </w:r>
            <w:r w:rsidR="00E74D19">
              <w:rPr>
                <w:rFonts w:ascii="Arial" w:hAnsi="Arial" w:cs="Arial"/>
                <w:bCs/>
                <w:sz w:val="24"/>
                <w:szCs w:val="24"/>
              </w:rPr>
              <w:t>ации Верхнекетского района</w:t>
            </w:r>
            <w:r w:rsidR="00E74D19">
              <w:rPr>
                <w:rFonts w:ascii="Arial" w:hAnsi="Arial" w:cs="Arial"/>
                <w:bCs/>
                <w:sz w:val="24"/>
                <w:szCs w:val="24"/>
              </w:rPr>
              <w:br/>
              <w:t>от 15.11.2021 г. № 972</w:t>
            </w:r>
          </w:p>
        </w:tc>
      </w:tr>
      <w:tr w:rsidR="00F57254" w:rsidRPr="00E74D19" w:rsidTr="00E74D19">
        <w:trPr>
          <w:trHeight w:val="405"/>
        </w:trPr>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center"/>
              <w:rPr>
                <w:rFonts w:ascii="Arial" w:hAnsi="Arial" w:cs="Arial"/>
                <w:b/>
                <w:bCs/>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4"/>
                <w:szCs w:val="24"/>
              </w:rPr>
            </w:pPr>
          </w:p>
        </w:tc>
        <w:tc>
          <w:tcPr>
            <w:tcW w:w="357" w:type="pct"/>
            <w:tcBorders>
              <w:top w:val="nil"/>
              <w:left w:val="nil"/>
              <w:bottom w:val="nil"/>
              <w:right w:val="nil"/>
            </w:tcBorders>
            <w:shd w:val="clear" w:color="auto" w:fill="auto"/>
            <w:noWrap/>
            <w:vAlign w:val="center"/>
            <w:hideMark/>
          </w:tcPr>
          <w:p w:rsidR="00F57254" w:rsidRPr="00E74D19" w:rsidRDefault="00F57254" w:rsidP="00F57254">
            <w:pPr>
              <w:ind w:firstLine="0"/>
              <w:jc w:val="right"/>
              <w:rPr>
                <w:rFonts w:ascii="Arial" w:hAnsi="Arial" w:cs="Arial"/>
                <w:sz w:val="20"/>
              </w:rPr>
            </w:pPr>
          </w:p>
        </w:tc>
      </w:tr>
      <w:tr w:rsidR="00F57254" w:rsidRPr="00E74D19" w:rsidTr="00E74D19">
        <w:trPr>
          <w:trHeight w:val="405"/>
        </w:trPr>
        <w:tc>
          <w:tcPr>
            <w:tcW w:w="5000" w:type="pct"/>
            <w:gridSpan w:val="14"/>
            <w:tcBorders>
              <w:top w:val="nil"/>
              <w:left w:val="nil"/>
              <w:bottom w:val="nil"/>
              <w:right w:val="nil"/>
            </w:tcBorders>
            <w:shd w:val="clear" w:color="auto" w:fill="auto"/>
            <w:vAlign w:val="center"/>
            <w:hideMark/>
          </w:tcPr>
          <w:p w:rsidR="00F57254" w:rsidRPr="00E74D19" w:rsidRDefault="00F57254" w:rsidP="00F57254">
            <w:pPr>
              <w:ind w:firstLine="0"/>
              <w:jc w:val="center"/>
              <w:rPr>
                <w:rFonts w:ascii="Arial" w:hAnsi="Arial" w:cs="Arial"/>
                <w:b/>
                <w:bCs/>
                <w:sz w:val="24"/>
                <w:szCs w:val="24"/>
              </w:rPr>
            </w:pPr>
            <w:r w:rsidRPr="00E74D19">
              <w:rPr>
                <w:rFonts w:ascii="Arial" w:hAnsi="Arial" w:cs="Arial"/>
                <w:b/>
                <w:bCs/>
                <w:sz w:val="24"/>
                <w:szCs w:val="24"/>
              </w:rPr>
              <w:t>Показатели прогноза социально-экономического развития муниципального района (городского округа)Томской области на 2022-2024 годы</w:t>
            </w:r>
          </w:p>
        </w:tc>
      </w:tr>
      <w:tr w:rsidR="00F57254" w:rsidRPr="00E74D19" w:rsidTr="00E74D19">
        <w:trPr>
          <w:trHeight w:val="405"/>
        </w:trPr>
        <w:tc>
          <w:tcPr>
            <w:tcW w:w="5000" w:type="pct"/>
            <w:gridSpan w:val="14"/>
            <w:tcBorders>
              <w:top w:val="nil"/>
              <w:left w:val="nil"/>
              <w:bottom w:val="nil"/>
              <w:right w:val="nil"/>
            </w:tcBorders>
            <w:shd w:val="clear" w:color="auto" w:fill="auto"/>
            <w:vAlign w:val="center"/>
            <w:hideMark/>
          </w:tcPr>
          <w:p w:rsidR="00F57254" w:rsidRPr="00E74D19" w:rsidRDefault="00F57254" w:rsidP="00F57254">
            <w:pPr>
              <w:ind w:firstLine="0"/>
              <w:jc w:val="center"/>
              <w:rPr>
                <w:rFonts w:ascii="Arial" w:hAnsi="Arial" w:cs="Arial"/>
                <w:b/>
                <w:bCs/>
                <w:sz w:val="24"/>
                <w:szCs w:val="24"/>
              </w:rPr>
            </w:pPr>
            <w:r w:rsidRPr="00E74D19">
              <w:rPr>
                <w:rFonts w:ascii="Arial" w:hAnsi="Arial" w:cs="Arial"/>
                <w:b/>
                <w:bCs/>
                <w:sz w:val="24"/>
                <w:szCs w:val="24"/>
              </w:rPr>
              <w:t>муниципального образования Верхнекетский район Томской области</w:t>
            </w:r>
          </w:p>
        </w:tc>
      </w:tr>
      <w:tr w:rsidR="00F57254" w:rsidRPr="00E74D19" w:rsidTr="00E74D19">
        <w:trPr>
          <w:trHeight w:val="255"/>
        </w:trPr>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r w:rsidRPr="00E74D19">
              <w:rPr>
                <w:rFonts w:ascii="Arial" w:hAnsi="Arial" w:cs="Arial"/>
                <w:sz w:val="24"/>
                <w:szCs w:val="24"/>
              </w:rPr>
              <w:t xml:space="preserve"> </w:t>
            </w: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20"/>
              </w:rPr>
            </w:pPr>
          </w:p>
        </w:tc>
      </w:tr>
      <w:tr w:rsidR="00F57254" w:rsidRPr="00E74D19" w:rsidTr="00E74D19">
        <w:trPr>
          <w:trHeight w:val="255"/>
        </w:trPr>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4"/>
                <w:szCs w:val="24"/>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r>
      <w:tr w:rsidR="00F57254" w:rsidRPr="00E74D19" w:rsidTr="00E74D19">
        <w:trPr>
          <w:trHeight w:val="255"/>
        </w:trPr>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F57254" w:rsidRPr="00E74D19" w:rsidRDefault="00F57254" w:rsidP="00F57254">
            <w:pPr>
              <w:ind w:firstLine="0"/>
              <w:rPr>
                <w:rFonts w:ascii="Arial" w:hAnsi="Arial" w:cs="Arial"/>
                <w:sz w:val="20"/>
              </w:rPr>
            </w:pPr>
          </w:p>
        </w:tc>
      </w:tr>
      <w:tr w:rsidR="00E74D19" w:rsidRPr="00E74D19" w:rsidTr="00E74D19">
        <w:trPr>
          <w:trHeight w:val="255"/>
        </w:trPr>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r>
      <w:tr w:rsidR="00E74D19" w:rsidRPr="00E74D19" w:rsidTr="00E74D19">
        <w:trPr>
          <w:trHeight w:val="255"/>
        </w:trPr>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c>
          <w:tcPr>
            <w:tcW w:w="357" w:type="pct"/>
            <w:tcBorders>
              <w:top w:val="nil"/>
              <w:left w:val="nil"/>
              <w:bottom w:val="nil"/>
              <w:right w:val="nil"/>
            </w:tcBorders>
            <w:shd w:val="clear" w:color="auto" w:fill="auto"/>
            <w:noWrap/>
            <w:vAlign w:val="bottom"/>
          </w:tcPr>
          <w:p w:rsidR="00E74D19" w:rsidRPr="00E74D19" w:rsidRDefault="00E74D19" w:rsidP="00F57254">
            <w:pPr>
              <w:ind w:firstLine="0"/>
              <w:rPr>
                <w:rFonts w:ascii="Arial" w:hAnsi="Arial" w:cs="Arial"/>
                <w:sz w:val="20"/>
              </w:rPr>
            </w:pPr>
          </w:p>
        </w:tc>
      </w:tr>
      <w:tr w:rsidR="00F57254" w:rsidRPr="00E74D19" w:rsidTr="00E74D19">
        <w:trPr>
          <w:trHeight w:val="375"/>
        </w:trPr>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bookmarkStart w:id="0" w:name="_GoBack"/>
            <w:r w:rsidRPr="00E74D19">
              <w:rPr>
                <w:rFonts w:ascii="Arial" w:hAnsi="Arial" w:cs="Arial"/>
                <w:b/>
                <w:bCs/>
                <w:color w:val="000000"/>
                <w:sz w:val="16"/>
                <w:szCs w:val="16"/>
              </w:rPr>
              <w:t>Показатели</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Единица измерения</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отчет</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отчет</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оценка</w:t>
            </w:r>
          </w:p>
        </w:tc>
        <w:tc>
          <w:tcPr>
            <w:tcW w:w="3214" w:type="pct"/>
            <w:gridSpan w:val="9"/>
            <w:tcBorders>
              <w:top w:val="single" w:sz="4" w:space="0" w:color="auto"/>
              <w:left w:val="nil"/>
              <w:bottom w:val="single" w:sz="4" w:space="0" w:color="auto"/>
              <w:right w:val="single" w:sz="4" w:space="0" w:color="000000"/>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прогноз</w:t>
            </w:r>
          </w:p>
        </w:tc>
      </w:tr>
      <w:tr w:rsidR="00F57254" w:rsidRPr="00E74D19" w:rsidTr="00E74D19">
        <w:trPr>
          <w:trHeight w:val="465"/>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2019</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2020</w:t>
            </w:r>
          </w:p>
        </w:tc>
        <w:tc>
          <w:tcPr>
            <w:tcW w:w="357" w:type="pct"/>
            <w:vMerge w:val="restart"/>
            <w:tcBorders>
              <w:top w:val="nil"/>
              <w:left w:val="single" w:sz="4" w:space="0" w:color="auto"/>
              <w:bottom w:val="single" w:sz="4" w:space="0" w:color="000000"/>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2021</w:t>
            </w:r>
          </w:p>
        </w:tc>
        <w:tc>
          <w:tcPr>
            <w:tcW w:w="1071" w:type="pct"/>
            <w:gridSpan w:val="3"/>
            <w:tcBorders>
              <w:top w:val="single" w:sz="4" w:space="0" w:color="auto"/>
              <w:left w:val="nil"/>
              <w:bottom w:val="single" w:sz="4" w:space="0" w:color="auto"/>
              <w:right w:val="single" w:sz="4" w:space="0" w:color="000000"/>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2022</w:t>
            </w:r>
          </w:p>
        </w:tc>
        <w:tc>
          <w:tcPr>
            <w:tcW w:w="1071" w:type="pct"/>
            <w:gridSpan w:val="3"/>
            <w:tcBorders>
              <w:top w:val="single" w:sz="4" w:space="0" w:color="auto"/>
              <w:left w:val="nil"/>
              <w:bottom w:val="single" w:sz="4" w:space="0" w:color="auto"/>
              <w:right w:val="single" w:sz="4" w:space="0" w:color="000000"/>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2023</w:t>
            </w:r>
          </w:p>
        </w:tc>
        <w:tc>
          <w:tcPr>
            <w:tcW w:w="1071" w:type="pct"/>
            <w:gridSpan w:val="3"/>
            <w:tcBorders>
              <w:top w:val="single" w:sz="4" w:space="0" w:color="auto"/>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2024</w:t>
            </w:r>
          </w:p>
        </w:tc>
      </w:tr>
      <w:tr w:rsidR="00F57254" w:rsidRPr="00E74D19" w:rsidTr="00E74D19">
        <w:trPr>
          <w:trHeight w:val="750"/>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tcBorders>
              <w:top w:val="nil"/>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tcBorders>
              <w:top w:val="nil"/>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tcBorders>
              <w:top w:val="nil"/>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консервативный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базовый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целевой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консервативный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базовый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целевой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консервативный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базовый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целевой</w:t>
            </w:r>
          </w:p>
        </w:tc>
      </w:tr>
      <w:tr w:rsidR="00F57254" w:rsidRPr="00E74D19" w:rsidTr="00E74D19">
        <w:trPr>
          <w:trHeight w:val="750"/>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tcBorders>
              <w:top w:val="nil"/>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tcBorders>
              <w:top w:val="nil"/>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vMerge/>
            <w:tcBorders>
              <w:top w:val="nil"/>
              <w:left w:val="single" w:sz="4" w:space="0" w:color="auto"/>
              <w:bottom w:val="single" w:sz="4" w:space="0" w:color="000000"/>
              <w:right w:val="single" w:sz="4" w:space="0" w:color="auto"/>
            </w:tcBorders>
            <w:vAlign w:val="center"/>
            <w:hideMark/>
          </w:tcPr>
          <w:p w:rsidR="00F57254" w:rsidRPr="00E74D19" w:rsidRDefault="00F57254" w:rsidP="00F57254">
            <w:pPr>
              <w:ind w:firstLine="0"/>
              <w:rPr>
                <w:rFonts w:ascii="Arial" w:hAnsi="Arial" w:cs="Arial"/>
                <w:b/>
                <w:bCs/>
                <w:color w:val="000000"/>
                <w:sz w:val="16"/>
                <w:szCs w:val="16"/>
              </w:rPr>
            </w:pP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1 вариант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2 вариант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3 вариант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1 вариант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2 вариант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3 вариант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1 вариант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2 вариант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b/>
                <w:bCs/>
                <w:color w:val="000000"/>
                <w:sz w:val="16"/>
                <w:szCs w:val="16"/>
              </w:rPr>
            </w:pPr>
            <w:r w:rsidRPr="00E74D19">
              <w:rPr>
                <w:rFonts w:ascii="Arial" w:hAnsi="Arial" w:cs="Arial"/>
                <w:b/>
                <w:bCs/>
                <w:color w:val="000000"/>
                <w:sz w:val="16"/>
                <w:szCs w:val="16"/>
              </w:rPr>
              <w:t>3 вариант</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1. Промышленное производство (BCDE)</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Объем отгруженных товаров собственного производства, выполненных работ и услуг собственными силами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1 900,5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2 294,8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3 862,9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4 191,2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4 193,0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4 193,0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4 553,5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4 559,2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4 559,2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4 957,1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4 966,4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4 966,4</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lastRenderedPageBreak/>
              <w:t xml:space="preserve">Индекс промышленного производства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96,0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102,7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96,6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102,2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97,1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95,7</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sz w:val="16"/>
                <w:szCs w:val="16"/>
              </w:rPr>
            </w:pPr>
            <w:r w:rsidRPr="00E74D19">
              <w:rPr>
                <w:rFonts w:ascii="Arial" w:hAnsi="Arial" w:cs="Arial"/>
                <w:b/>
                <w:bCs/>
                <w:sz w:val="16"/>
                <w:szCs w:val="16"/>
              </w:rPr>
              <w:t>Добыча полезных 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81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РАЗДЕЛ B: Добыча полезных 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РАЗДЕЛ B: Добыча полезных 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- 06 Добыча сырой нефти и природного газа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- 06 Добыча сырой нефти и природного газа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Объем отгруженных товаров собственного производства, выполненных работ и услуг собственными силами - 08 Добыча прочих полезных </w:t>
            </w:r>
            <w:r w:rsidRPr="00E74D19">
              <w:rPr>
                <w:rFonts w:ascii="Arial" w:hAnsi="Arial" w:cs="Arial"/>
                <w:sz w:val="16"/>
                <w:szCs w:val="16"/>
              </w:rPr>
              <w:lastRenderedPageBreak/>
              <w:t>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lastRenderedPageBreak/>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Индекс-дефлятор отрузки - 08 Добыча прочих полезных 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- 08 Добыча прочих полезных 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- 09 Предоставление услуг в области добычи полезных 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- 09 Предоставление услуг в области добычи полезных ископаемых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sz w:val="16"/>
                <w:szCs w:val="16"/>
              </w:rPr>
            </w:pPr>
            <w:r w:rsidRPr="00E74D19">
              <w:rPr>
                <w:rFonts w:ascii="Arial" w:hAnsi="Arial" w:cs="Arial"/>
                <w:b/>
                <w:bCs/>
                <w:sz w:val="16"/>
                <w:szCs w:val="16"/>
              </w:rPr>
              <w:t>Обрабатывающие производства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1 724,3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2 118,8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3 672,5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3 986,8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3 987,0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3 987,0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4 336,4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4 336,8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4 336,8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4 725,7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4 726,3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4 726,3</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РАЗДЕЛ C: Обрабатывающие производства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Индекс производства - РАЗДЕЛ C: Обрабатывающие производства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122,9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108,3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102,9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103,3</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- 10 Производство пищевых продуктов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- 10 Производство пищевых продуктов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- 11 Производство напитков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- 11 Производство напитков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- 11 Производство напитков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Индекс-дефлятор отрузки - 13 Производство текстильных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- 13 Производство текстильных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- 14 Производство одежды</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- 14 Производство одежды</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- 14 Производство одежды</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- 15 Производство кожи и изделий из кожи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- 15 Производство кожи и изделий из кожи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8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1 724,3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2 118,8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3 672,5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3 986,8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3 987,0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3 987,0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4 336,4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4 336,8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4 336,8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4 725,7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4 726,3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4 726,3</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160,0</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105,5</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105,3</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105,3</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105,6</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105,4</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105,4</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105,7</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105,5</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105,5</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122,9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108,3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102,9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103,3</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Индекс-дефлятор отрузки - 17 Производство бумаги и бумажных изделий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Индекс производства - 17 Производство бумаги и бумажных изделий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- 18 Деятельность полиграфическая и копирование носителей информации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- 18 Деятельность полиграфическая и копирование носителей информации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- 19 Производство кокса и нефтепродуктов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- 19 Производство кокса и нефтепродуктов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Индекс-дефлятор отрузки - 20 Производство химических веществ и химических продуктов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- 20 Производство химических веществ и химических продуктов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- 21 Производство лекарственных средств и материалов, применяемых в медицинских целях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- 21 Производство лекарственных средств и материалов, применяемых в медицинских целях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Индекс-дефлятор отрузки - 22 Производство резиновых и </w:t>
            </w:r>
            <w:r w:rsidRPr="00E74D19">
              <w:rPr>
                <w:rFonts w:ascii="Arial" w:hAnsi="Arial" w:cs="Arial"/>
                <w:sz w:val="16"/>
                <w:szCs w:val="16"/>
              </w:rPr>
              <w:lastRenderedPageBreak/>
              <w:t>пластмассовых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lastRenderedPageBreak/>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Индекс производства - 22 Производство резиновых и пластмассовых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- 23 Производство прочей неметаллической минеральной продукции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- 23 Производство прочей неметаллической минеральной продукции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Индекс-дефлятор отрузки - 24 Производство металлургическое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Индекс производства - 24 Производство металлургическое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- 25 Производство готовых металлических изделий, кроме машин и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- 25 Производство готовых металлических изделий, кроме машин и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- 26 Производство компьютеров, электронных и  оптических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- 26 Производство компьютеров, электронных и  оптических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- 27 Производство электрического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- 27 Производство электрического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- 28 Производство машин и оборудования, не включенных в другие группировки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- 28 Производство машин и оборудования, не включенных в другие группировки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Индекс-дефлятор отрузки - 29 Производство автотранспортных средств, прицепов и полуприцепов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- 29 Производство автотранспортных средств, прицепов и полуприцепов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- 30 Производство прочих транспортных средств и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- 30 Производство прочих транспортных средств и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- 31 Производство мебели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- 31 Производство мебели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- 31 Производство мебели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- 32 Производство прочих готовых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- 32 Производство прочих готовых изделий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Индекс-дефлятор отрузки - 33 Ремонт и монтаж машин и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- 33 Ремонт и монтаж машин и оборудования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sz w:val="16"/>
                <w:szCs w:val="16"/>
              </w:rPr>
            </w:pPr>
            <w:r w:rsidRPr="00E74D19">
              <w:rPr>
                <w:rFonts w:ascii="Arial" w:hAnsi="Arial" w:cs="Arial"/>
                <w:b/>
                <w:bCs/>
                <w:sz w:val="16"/>
                <w:szCs w:val="16"/>
              </w:rPr>
              <w:t>Обеспечение электрической энергией, газом и паром; кондиционирование воздуха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w:t>
            </w:r>
            <w:r w:rsidRPr="00E74D19">
              <w:rPr>
                <w:rFonts w:ascii="Arial" w:hAnsi="Arial" w:cs="Arial"/>
                <w:sz w:val="16"/>
                <w:szCs w:val="16"/>
              </w:rPr>
              <w:lastRenderedPageBreak/>
              <w:t xml:space="preserve">кондиционирование воздуха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lastRenderedPageBreak/>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155,8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168,2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182,0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182,0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196,4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196,4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203,4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212,1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212,1</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Индекс-дефлятор отгрузки - РАЗДЕЛ D: Обеспечение электрической энергией, газом и паром; кондиционирование воздуха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101,0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103,9</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Индекс производства - РАЗДЕЛ D: Обеспечение электрической энергией, газом и паром; кондиционирование воздуха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96,0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102,0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102,4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103,9</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sz w:val="16"/>
                <w:szCs w:val="16"/>
              </w:rPr>
            </w:pPr>
            <w:r w:rsidRPr="00E74D19">
              <w:rPr>
                <w:rFonts w:ascii="Arial" w:hAnsi="Arial" w:cs="Arial"/>
                <w:b/>
                <w:bCs/>
                <w:sz w:val="16"/>
                <w:szCs w:val="16"/>
              </w:rPr>
              <w:t>Водоснабжение; водоотведение, организация сбора и утилизации отходов, деятельность по ликвидации загрязнений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28,0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28,0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28,0</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Индекс-дефлятор отгрузки - РАЗДЕЛ E: Водоснабжение; водоотведение, организация сбора и утилизации отходов, деятельность по ликвидации </w:t>
            </w:r>
            <w:r w:rsidRPr="00E74D19">
              <w:rPr>
                <w:rFonts w:ascii="Arial" w:hAnsi="Arial" w:cs="Arial"/>
                <w:sz w:val="16"/>
                <w:szCs w:val="16"/>
              </w:rPr>
              <w:lastRenderedPageBreak/>
              <w:t>загрязнений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lastRenderedPageBreak/>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2. Сельское хозяйство</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Продукция сельского хозяйства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206,2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235,7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234,1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242,3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271,6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271,6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303,7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303,7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260,8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315,8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315,8</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 производства продукции сельского хозяйства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87,7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112,0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112,0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99,9</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Индекс-дефлятор продукции сельского хозяйства в хозяйствах всех категорий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104,1</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Продукция сельского хозяйства в хозяйствах всех категорий, в том числе: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Продукция растениеводства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94,4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124,3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119,2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143,4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143,4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166,4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166,4</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 производства продукции растениеводства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82,8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125,8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124,8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124,8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Индекс-дефлятор продукции растениеводства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109,5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102,8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102,8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111,6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111,6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Продукция животноводства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122,3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128,2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128,2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132,4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149,4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149,4</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lastRenderedPageBreak/>
              <w:t>Индекс производства продукции животноводства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Индекс-дефлятор продукции животноводства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109,5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101,1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3. Транспорт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км.</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255,0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258,1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259,9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261,9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270,9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270,9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263,9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292,9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292,9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265,9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309,9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309,9</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Плотность автомобильных дорог общего пользования с твердым покрытием</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на конец года; км путей на 10000 кв.км территории</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58,9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59,6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62,6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62,6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60,9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71,6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71,6</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Удельный вес автомобильных дорог с твердым покрытием в общей протяженности автомобильных дорог общего пользования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на конец года;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28,7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29,1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29,3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29,5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29,7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29,9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34,9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34,9</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 xml:space="preserve">Производство важнейших видов продукции в натуральном выражении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Валовой сбор зерна (в весе после доработки)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Валовой сбор семян масличных культур – всего</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Валовой сбор картофеля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Валовой сбор овощей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Скот и птица на убой (в живом весе)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lastRenderedPageBreak/>
              <w:t>Молоко</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Яйца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млн.шт.</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0,7</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Древесина необработанная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куб. м</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0,9</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Нефть добытая, включая газовый конденсат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Газ природный и попутный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млрд.куб.м.</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Мясо и субпродукты пищевые убойных животных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Мясо и субпродукты пищевые домашней птицы</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Масло сливочное и пасты масляные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Масло подсолнечное нерафинированное и его фракции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Рыба и продукты рыбные переработанные и консервированные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Водка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дкл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Вина столовые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дкл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Вина плодовые столовые, кроме сидра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дкл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Напитки слабоалкогольные с содержанием этилового спирта не более 9%</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дкл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Пиво, кроме отходов пивоварения (включая напитки, изготовляемые на основе пива (пиваные напитки))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дкл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 xml:space="preserve">Трикотажные изделия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млн.шт.</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 xml:space="preserve">Обувь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млн.пар</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21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lastRenderedPageBreak/>
              <w:t>Лесоматериалы, продольно распиленные или расколотые, разделенные на слои или лущеные, толщиной более 6мм, шпалы железнодорожные или трамвайные деревянные, непропитанные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куб. м</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0,3</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Бензин автомобильный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Топливо дизельное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Масла нефтяные смазочные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Мазут топочный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21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Топливо печное бытовое</w:t>
            </w:r>
            <w:r w:rsidRPr="00E74D19">
              <w:rPr>
                <w:rFonts w:ascii="Arial" w:hAnsi="Arial" w:cs="Arial"/>
                <w:b/>
                <w:bCs/>
                <w:color w:val="000000"/>
                <w:sz w:val="16"/>
                <w:szCs w:val="16"/>
              </w:rPr>
              <w:t xml:space="preserve">, </w:t>
            </w:r>
            <w:r w:rsidRPr="00E74D19">
              <w:rPr>
                <w:rFonts w:ascii="Arial" w:hAnsi="Arial" w:cs="Arial"/>
                <w:color w:val="000000"/>
                <w:sz w:val="16"/>
                <w:szCs w:val="16"/>
              </w:rPr>
              <w:t>вырабатываемое из дизельных фракций прямой перегонки и(или) вторичного происхождения, кипящих в интервале температур от 280 до 360 градусов Цельсия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Полимеры этилена в первичных формах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Портландцемент, цемент глиноземистый, цемент шлаковый и аналогичные цементы гидравлические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тонн</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Кирпич строительный (включая камни) из цемента, бетона или искусственного камня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условных кирпичей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Электроэнергия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млрд. кВт. ч.</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 том числе произведенная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атомными электростанциями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млрд. кВт. ч.</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тепловыми электростанциями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млрд. кВт. ч.</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lastRenderedPageBreak/>
              <w:t>гидроэлектростанциями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млрд. кВт. ч.</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4. Строительство</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Объем работ, выполненных по виду экономической деятельности "Строительство" (Раздел F)</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в ценах соответствующих лет; 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17,5</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 производства по виду деятельности "Строительство" (Раздел F)</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96,5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96,5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96,5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95,7</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Индекс-дефлятор по объему работ, выполненных по виду деятельности "Строительство" (Раздел F)</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104,5</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Ввод в действие жилых домов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кв. м. в общей площади</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4,2</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Удельный вес жилых домов, построенных населением</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64,0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5. Инвестиции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Инвестиции в основной капитал</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в ценах соответствующих лет; 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118,1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92,0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191,9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191,9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408,8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408,8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24,9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39,9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39,9</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 физического объема инвестиций в основной капитал</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101,7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98,6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198,1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198,1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83,9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201,9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201,9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98,8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9,2</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Индекс-дефлятор</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105,6</w:t>
            </w:r>
          </w:p>
        </w:tc>
      </w:tr>
      <w:tr w:rsidR="00F57254" w:rsidRPr="00E74D19" w:rsidTr="00E74D19">
        <w:trPr>
          <w:trHeight w:val="15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lastRenderedPageBreak/>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91,6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86,2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171,9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171,9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22,4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23,0</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 физического объема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98,6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111,3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184,9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184,9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94,8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97,1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97,1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99,2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12,7</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Индекс-дефлятор</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105,6</w:t>
            </w:r>
          </w:p>
        </w:tc>
      </w:tr>
      <w:tr w:rsidR="00F57254" w:rsidRPr="00E74D19" w:rsidTr="00E74D19">
        <w:trPr>
          <w:trHeight w:val="159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Собственные средства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57,5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36,7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24,4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Привлеченные средства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61,8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161,9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161,9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Кредиты банков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 том числе кредиты иностранных банков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Заемные средства других организаций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Бюджетные средства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20,8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в том числе: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федеральный бюджет</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139,4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139,4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lastRenderedPageBreak/>
              <w:t>бюджеты субъектов Российской Федерации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11,0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46,7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46,7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12,5</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из местных бюджетов</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0,5</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Прочие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рублей</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31,8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6. Торговля и услуги населению</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Оборот розничной торговли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в ценах соответствующих лет; 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420,0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543,6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560,6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570,6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575,7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575,7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585,9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586,9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586,9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592,5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593,8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593,8</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Оборот розничной торговли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142,7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125,2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98,5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98,1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98,1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97,1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97,3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97,3</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Индекс-дефлятор оборота розничной торговли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Оборот общественного питания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млн.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Оборот общественного питания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 потребительских цен на продукцию общественного питания за период с начала года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к соответствующему периоду предыдущего года,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Распределение оборота розничной торговли по формам торговли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 xml:space="preserve">Оборот розничной торговли торгующих организаций и индивидуальных предпринимателей, осуществляющих деятельность вне </w:t>
            </w:r>
            <w:r w:rsidRPr="00E74D19">
              <w:rPr>
                <w:rFonts w:ascii="Arial" w:hAnsi="Arial" w:cs="Arial"/>
                <w:color w:val="000000"/>
                <w:sz w:val="16"/>
                <w:szCs w:val="16"/>
              </w:rPr>
              <w:lastRenderedPageBreak/>
              <w:t>рынка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lastRenderedPageBreak/>
              <w:t>в ценах соответствующих лет; 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415,2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538,6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555,4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451,7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452,7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453,3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469,3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470,3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470,5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488,2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489,6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489,5</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lastRenderedPageBreak/>
              <w:t>Продажа на розничных рынках и ярмарках</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в ценах соответствующих лет; 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4,6</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 xml:space="preserve">Оборот розничной торговли по торговым сетям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 xml:space="preserve">Оборот розничной торговли по торговым сетям </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от оборота розничной торговли</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Структура оборота розничной торговли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22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Пищевые продукты, включая напитки, и табачные изделия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в ценах соответствующих лет; % от оборота розничной торговли субъекта Российской Федерации</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81,0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71,0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71,0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65,0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68,0</w:t>
            </w:r>
          </w:p>
        </w:tc>
      </w:tr>
      <w:tr w:rsidR="00F57254" w:rsidRPr="00E74D19" w:rsidTr="00E74D19">
        <w:trPr>
          <w:trHeight w:val="22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Непродовольственные товары</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в ценах соответствующих лет; % от оборота розничной торговли субъекта Российской Федерации</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26,0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31,0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35,0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32,0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Объем платных услуг населению</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136,5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128,6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130,5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132,5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134,5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136,5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136,5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138,5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143,0</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lastRenderedPageBreak/>
              <w:t>Объем платных услуг населению</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 в сопоставимых ценах</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132,0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86,5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98,0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98,9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98,9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99,3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100,6</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Индекс-дефлятор объема платных услуг</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к предыдущему году</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104,1</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7. Малое и среднее предпринимательство, включая микропредприятия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81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Число малых и средних предприятий, включая микропредприятия (на конец года)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единиц</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103,0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105,0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107,0</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Среднесписочная численность работников малых и средних предприятий, включая микропредприятия (без внешних совместителей)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тыс. чел.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1,824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1,840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1,898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1,935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1,935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1,916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1,935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1,970</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color w:val="000000"/>
                <w:sz w:val="16"/>
                <w:szCs w:val="16"/>
              </w:rPr>
            </w:pPr>
            <w:r w:rsidRPr="00E74D19">
              <w:rPr>
                <w:rFonts w:ascii="Arial" w:hAnsi="Arial" w:cs="Arial"/>
                <w:color w:val="000000"/>
                <w:sz w:val="16"/>
                <w:szCs w:val="16"/>
              </w:rPr>
              <w:t>Оборот малых и средних предприятий, включая микропредприятия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xml:space="preserve">млрд. 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sz w:val="16"/>
                <w:szCs w:val="16"/>
              </w:rPr>
            </w:pPr>
            <w:r w:rsidRPr="00E74D19">
              <w:rPr>
                <w:rFonts w:ascii="Arial" w:hAnsi="Arial" w:cs="Arial"/>
                <w:b/>
                <w:bCs/>
                <w:sz w:val="16"/>
                <w:szCs w:val="16"/>
              </w:rPr>
              <w:t>8. Финансы</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Прибыль прибыльных организаций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0,2</w:t>
            </w:r>
          </w:p>
        </w:tc>
      </w:tr>
      <w:tr w:rsidR="00F57254" w:rsidRPr="00E74D19" w:rsidTr="00E74D19">
        <w:trPr>
          <w:trHeight w:val="750"/>
        </w:trPr>
        <w:tc>
          <w:tcPr>
            <w:tcW w:w="357" w:type="pct"/>
            <w:tcBorders>
              <w:top w:val="nil"/>
              <w:left w:val="single" w:sz="4" w:space="0" w:color="auto"/>
              <w:bottom w:val="nil"/>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Сальдированный финансовый результат (прибыль минус убыток)</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млн. руб.</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-22,9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-30,3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-22,0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-20,0</w:t>
            </w:r>
          </w:p>
        </w:tc>
      </w:tr>
      <w:tr w:rsidR="00F57254" w:rsidRPr="00E74D19" w:rsidTr="00E74D19">
        <w:trPr>
          <w:trHeight w:val="375"/>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color w:val="000000"/>
                <w:sz w:val="16"/>
                <w:szCs w:val="16"/>
              </w:rPr>
            </w:pPr>
            <w:r w:rsidRPr="00E74D19">
              <w:rPr>
                <w:rFonts w:ascii="Arial" w:hAnsi="Arial" w:cs="Arial"/>
                <w:b/>
                <w:bCs/>
                <w:color w:val="000000"/>
                <w:sz w:val="16"/>
                <w:szCs w:val="16"/>
              </w:rPr>
              <w:t>9. Население</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Численность населения (в среднегодовом исчислении)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тыс.чел.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15,7</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bottom"/>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Численность населения трудоспособного возраста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тыс.чел.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8,3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8,4</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 xml:space="preserve">Численность населения старше </w:t>
            </w:r>
            <w:r w:rsidRPr="00E74D19">
              <w:rPr>
                <w:rFonts w:ascii="Arial" w:hAnsi="Arial" w:cs="Arial"/>
                <w:sz w:val="16"/>
                <w:szCs w:val="16"/>
              </w:rPr>
              <w:lastRenderedPageBreak/>
              <w:t>трудоспособного возраста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lastRenderedPageBreak/>
              <w:t>тыс.чел.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3,9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3,7</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Общий коэффициент рождаемости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число родившихся на 1000 человек населения</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9,7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7,6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9,4</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Общий коэффициент смертности</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число умерших на 1000 человек населения</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13,6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14,7</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Коэффициент естественного прироста населения</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на 1000 человек населения</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4,1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-9,2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w:t>
            </w:r>
          </w:p>
        </w:tc>
      </w:tr>
      <w:tr w:rsidR="00F57254" w:rsidRPr="00E74D19" w:rsidTr="00E74D19">
        <w:trPr>
          <w:trHeight w:val="8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Миграционный прирост (убыль)</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тыс. чел</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0,0</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b/>
                <w:bCs/>
                <w:sz w:val="16"/>
                <w:szCs w:val="16"/>
              </w:rPr>
            </w:pPr>
            <w:r w:rsidRPr="00E74D19">
              <w:rPr>
                <w:rFonts w:ascii="Arial" w:hAnsi="Arial" w:cs="Arial"/>
                <w:b/>
                <w:bCs/>
                <w:sz w:val="16"/>
                <w:szCs w:val="16"/>
              </w:rPr>
              <w:t>10. Труд и занятость</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 </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Номинальная начисленная среднемесячная заработная плата работников организаций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руб/мес</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40 080,1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41 829,6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43 670,1</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46 552,3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46 683,3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46 683,3</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49 578,2</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49 857,8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49 857,8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52 900,0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53 347,9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53 347,9</w:t>
            </w:r>
          </w:p>
        </w:tc>
      </w:tr>
      <w:tr w:rsidR="00F57254" w:rsidRPr="00E74D19" w:rsidTr="00E74D19">
        <w:trPr>
          <w:trHeight w:val="75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Темп номинальной начисленной среднемесячной заработной платы работников организаций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г/г</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104,4</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106,6</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106,9</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106,5</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106,8</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106,7</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107,0</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color w:val="000000"/>
                <w:sz w:val="16"/>
                <w:szCs w:val="16"/>
              </w:rPr>
            </w:pPr>
            <w:r w:rsidRPr="00E74D19">
              <w:rPr>
                <w:rFonts w:ascii="Arial" w:hAnsi="Arial" w:cs="Arial"/>
                <w:color w:val="000000"/>
                <w:sz w:val="16"/>
                <w:szCs w:val="16"/>
              </w:rPr>
              <w:t>107,0</w:t>
            </w:r>
          </w:p>
        </w:tc>
      </w:tr>
      <w:tr w:rsidR="00F57254" w:rsidRPr="00E74D19" w:rsidTr="00E74D19">
        <w:trPr>
          <w:trHeight w:val="58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Уровень зарегистрированной безработицы (на конец года)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3,9</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3,2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3,2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3,2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2,1</w:t>
            </w:r>
          </w:p>
        </w:tc>
      </w:tr>
      <w:tr w:rsidR="00F57254" w:rsidRPr="00E74D19" w:rsidTr="00E74D19">
        <w:trPr>
          <w:trHeight w:val="112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Численность безработных, зарегистрированных в  государственных учреждениях службы занятости населения (на конец года)</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тыс. чел.</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0,4</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0,3</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0,3</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0,3</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0,2</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t>Фонд заработной платы работников организаций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xml:space="preserve">млн.руб. </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1 279,1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1 418,1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1 547,2</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1 615,3</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1 633,8</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1 633,8</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1 686,3</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1 731,9</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1 731,9</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1 760,5</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1 853,1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1 853,1</w:t>
            </w:r>
          </w:p>
        </w:tc>
      </w:tr>
      <w:tr w:rsidR="00F57254" w:rsidRPr="00E74D19" w:rsidTr="00E74D19">
        <w:trPr>
          <w:trHeight w:val="37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F57254" w:rsidRPr="00E74D19" w:rsidRDefault="00F57254" w:rsidP="00F57254">
            <w:pPr>
              <w:ind w:firstLine="0"/>
              <w:rPr>
                <w:rFonts w:ascii="Arial" w:hAnsi="Arial" w:cs="Arial"/>
                <w:sz w:val="16"/>
                <w:szCs w:val="16"/>
              </w:rPr>
            </w:pPr>
            <w:r w:rsidRPr="00E74D19">
              <w:rPr>
                <w:rFonts w:ascii="Arial" w:hAnsi="Arial" w:cs="Arial"/>
                <w:sz w:val="16"/>
                <w:szCs w:val="16"/>
              </w:rPr>
              <w:lastRenderedPageBreak/>
              <w:t>Темп роста фонда заработной платы работников организаций</w:t>
            </w:r>
          </w:p>
        </w:tc>
        <w:tc>
          <w:tcPr>
            <w:tcW w:w="357" w:type="pct"/>
            <w:tcBorders>
              <w:top w:val="nil"/>
              <w:left w:val="nil"/>
              <w:bottom w:val="single" w:sz="4" w:space="0" w:color="auto"/>
              <w:right w:val="single" w:sz="4" w:space="0" w:color="auto"/>
            </w:tcBorders>
            <w:shd w:val="clear" w:color="auto" w:fill="auto"/>
            <w:vAlign w:val="center"/>
            <w:hideMark/>
          </w:tcPr>
          <w:p w:rsidR="00F57254" w:rsidRPr="00E74D19" w:rsidRDefault="00F57254" w:rsidP="00F57254">
            <w:pPr>
              <w:ind w:firstLine="0"/>
              <w:jc w:val="center"/>
              <w:rPr>
                <w:rFonts w:ascii="Arial" w:hAnsi="Arial" w:cs="Arial"/>
                <w:sz w:val="16"/>
                <w:szCs w:val="16"/>
              </w:rPr>
            </w:pPr>
            <w:r w:rsidRPr="00E74D19">
              <w:rPr>
                <w:rFonts w:ascii="Arial" w:hAnsi="Arial" w:cs="Arial"/>
                <w:sz w:val="16"/>
                <w:szCs w:val="16"/>
              </w:rPr>
              <w:t>% г/г</w:t>
            </w:r>
          </w:p>
        </w:tc>
        <w:tc>
          <w:tcPr>
            <w:tcW w:w="357" w:type="pct"/>
            <w:tcBorders>
              <w:top w:val="nil"/>
              <w:left w:val="nil"/>
              <w:bottom w:val="single" w:sz="4" w:space="0" w:color="auto"/>
              <w:right w:val="single" w:sz="4" w:space="0" w:color="auto"/>
            </w:tcBorders>
            <w:shd w:val="clear" w:color="auto" w:fill="auto"/>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108,1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110,9</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109,1</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104,4</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105,6</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105,6</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104,4</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106,0</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106,0</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104,4</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107,0</w:t>
            </w:r>
          </w:p>
        </w:tc>
        <w:tc>
          <w:tcPr>
            <w:tcW w:w="357" w:type="pct"/>
            <w:tcBorders>
              <w:top w:val="nil"/>
              <w:left w:val="nil"/>
              <w:bottom w:val="single" w:sz="4" w:space="0" w:color="auto"/>
              <w:right w:val="single" w:sz="4" w:space="0" w:color="auto"/>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r w:rsidRPr="00E74D19">
              <w:rPr>
                <w:rFonts w:ascii="Arial" w:hAnsi="Arial" w:cs="Arial"/>
                <w:sz w:val="16"/>
                <w:szCs w:val="16"/>
              </w:rPr>
              <w:t>107,0</w:t>
            </w:r>
          </w:p>
        </w:tc>
      </w:tr>
      <w:tr w:rsidR="00F57254" w:rsidRPr="00E74D19" w:rsidTr="00E74D19">
        <w:trPr>
          <w:trHeight w:val="255"/>
        </w:trPr>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jc w:val="right"/>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c>
          <w:tcPr>
            <w:tcW w:w="357" w:type="pct"/>
            <w:tcBorders>
              <w:top w:val="nil"/>
              <w:left w:val="nil"/>
              <w:bottom w:val="nil"/>
              <w:right w:val="nil"/>
            </w:tcBorders>
            <w:shd w:val="clear" w:color="auto" w:fill="auto"/>
            <w:noWrap/>
            <w:vAlign w:val="bottom"/>
            <w:hideMark/>
          </w:tcPr>
          <w:p w:rsidR="00F57254" w:rsidRPr="00E74D19" w:rsidRDefault="00F57254" w:rsidP="00F57254">
            <w:pPr>
              <w:ind w:firstLine="0"/>
              <w:rPr>
                <w:rFonts w:ascii="Arial" w:hAnsi="Arial" w:cs="Arial"/>
                <w:sz w:val="16"/>
                <w:szCs w:val="16"/>
              </w:rPr>
            </w:pPr>
          </w:p>
        </w:tc>
      </w:tr>
      <w:bookmarkEnd w:id="0"/>
    </w:tbl>
    <w:p w:rsidR="00571A22" w:rsidRPr="00E74D19" w:rsidRDefault="00571A22" w:rsidP="00F57254">
      <w:pPr>
        <w:spacing w:line="322" w:lineRule="exact"/>
        <w:ind w:right="-31" w:firstLine="0"/>
        <w:jc w:val="right"/>
        <w:rPr>
          <w:rFonts w:ascii="Arial" w:hAnsi="Arial" w:cs="Arial"/>
          <w:sz w:val="16"/>
          <w:szCs w:val="16"/>
        </w:rPr>
      </w:pPr>
    </w:p>
    <w:sectPr w:rsidR="00571A22" w:rsidRPr="00E74D19" w:rsidSect="00BD32A8">
      <w:pgSz w:w="16838" w:h="11906" w:orient="landscape"/>
      <w:pgMar w:top="1418" w:right="1134" w:bottom="707"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1A" w:rsidRDefault="008F2C1A" w:rsidP="003559D1">
      <w:r>
        <w:separator/>
      </w:r>
    </w:p>
  </w:endnote>
  <w:endnote w:type="continuationSeparator" w:id="0">
    <w:p w:rsidR="008F2C1A" w:rsidRDefault="008F2C1A" w:rsidP="0035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A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1A" w:rsidRDefault="008F2C1A" w:rsidP="003559D1">
      <w:r>
        <w:separator/>
      </w:r>
    </w:p>
  </w:footnote>
  <w:footnote w:type="continuationSeparator" w:id="0">
    <w:p w:rsidR="008F2C1A" w:rsidRDefault="008F2C1A" w:rsidP="0035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651824"/>
      <w:docPartObj>
        <w:docPartGallery w:val="Page Numbers (Top of Page)"/>
        <w:docPartUnique/>
      </w:docPartObj>
    </w:sdtPr>
    <w:sdtContent>
      <w:p w:rsidR="00F57254" w:rsidRDefault="00F57254">
        <w:pPr>
          <w:pStyle w:val="a8"/>
          <w:jc w:val="center"/>
        </w:pPr>
        <w:r>
          <w:fldChar w:fldCharType="begin"/>
        </w:r>
        <w:r>
          <w:instrText>PAGE   \* MERGEFORMAT</w:instrText>
        </w:r>
        <w:r>
          <w:fldChar w:fldCharType="separate"/>
        </w:r>
        <w:r w:rsidR="00E74D19">
          <w:rPr>
            <w:noProof/>
          </w:rPr>
          <w:t>9</w:t>
        </w:r>
        <w:r>
          <w:fldChar w:fldCharType="end"/>
        </w:r>
      </w:p>
    </w:sdtContent>
  </w:sdt>
  <w:p w:rsidR="00F57254" w:rsidRDefault="00F5725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54" w:rsidRDefault="00F57254" w:rsidP="00F57254">
    <w:pPr>
      <w:pStyle w:val="a8"/>
      <w:tabs>
        <w:tab w:val="clear" w:pos="4677"/>
        <w:tab w:val="clear" w:pos="9355"/>
        <w:tab w:val="left" w:pos="44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0489"/>
    <w:multiLevelType w:val="hybridMultilevel"/>
    <w:tmpl w:val="39B65B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3C40672"/>
    <w:multiLevelType w:val="hybridMultilevel"/>
    <w:tmpl w:val="E1B8E32C"/>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F4672C8"/>
    <w:multiLevelType w:val="hybridMultilevel"/>
    <w:tmpl w:val="A7C26F96"/>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01A0DAD"/>
    <w:multiLevelType w:val="hybridMultilevel"/>
    <w:tmpl w:val="FB906A16"/>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05B4DEE"/>
    <w:multiLevelType w:val="hybridMultilevel"/>
    <w:tmpl w:val="63A2B2F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4364BFA"/>
    <w:multiLevelType w:val="hybridMultilevel"/>
    <w:tmpl w:val="BF22EC36"/>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4EE5761"/>
    <w:multiLevelType w:val="hybridMultilevel"/>
    <w:tmpl w:val="200243DC"/>
    <w:lvl w:ilvl="0" w:tplc="7B144D64">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5DF6715"/>
    <w:multiLevelType w:val="hybridMultilevel"/>
    <w:tmpl w:val="4544BCF8"/>
    <w:lvl w:ilvl="0" w:tplc="95822936">
      <w:start w:val="1"/>
      <w:numFmt w:val="decimal"/>
      <w:lvlText w:val="%1)"/>
      <w:lvlJc w:val="left"/>
      <w:pPr>
        <w:ind w:left="1828" w:hanging="360"/>
      </w:pPr>
      <w:rPr>
        <w:rFonts w:hint="default"/>
      </w:rPr>
    </w:lvl>
    <w:lvl w:ilvl="1" w:tplc="04190019" w:tentative="1">
      <w:start w:val="1"/>
      <w:numFmt w:val="lowerLetter"/>
      <w:lvlText w:val="%2."/>
      <w:lvlJc w:val="left"/>
      <w:pPr>
        <w:ind w:left="2548" w:hanging="360"/>
      </w:pPr>
    </w:lvl>
    <w:lvl w:ilvl="2" w:tplc="0419001B" w:tentative="1">
      <w:start w:val="1"/>
      <w:numFmt w:val="lowerRoman"/>
      <w:lvlText w:val="%3."/>
      <w:lvlJc w:val="right"/>
      <w:pPr>
        <w:ind w:left="3268" w:hanging="180"/>
      </w:pPr>
    </w:lvl>
    <w:lvl w:ilvl="3" w:tplc="0419000F" w:tentative="1">
      <w:start w:val="1"/>
      <w:numFmt w:val="decimal"/>
      <w:lvlText w:val="%4."/>
      <w:lvlJc w:val="left"/>
      <w:pPr>
        <w:ind w:left="3988" w:hanging="360"/>
      </w:pPr>
    </w:lvl>
    <w:lvl w:ilvl="4" w:tplc="04190019" w:tentative="1">
      <w:start w:val="1"/>
      <w:numFmt w:val="lowerLetter"/>
      <w:lvlText w:val="%5."/>
      <w:lvlJc w:val="left"/>
      <w:pPr>
        <w:ind w:left="4708" w:hanging="360"/>
      </w:pPr>
    </w:lvl>
    <w:lvl w:ilvl="5" w:tplc="0419001B" w:tentative="1">
      <w:start w:val="1"/>
      <w:numFmt w:val="lowerRoman"/>
      <w:lvlText w:val="%6."/>
      <w:lvlJc w:val="right"/>
      <w:pPr>
        <w:ind w:left="5428" w:hanging="180"/>
      </w:pPr>
    </w:lvl>
    <w:lvl w:ilvl="6" w:tplc="0419000F" w:tentative="1">
      <w:start w:val="1"/>
      <w:numFmt w:val="decimal"/>
      <w:lvlText w:val="%7."/>
      <w:lvlJc w:val="left"/>
      <w:pPr>
        <w:ind w:left="6148" w:hanging="360"/>
      </w:pPr>
    </w:lvl>
    <w:lvl w:ilvl="7" w:tplc="04190019" w:tentative="1">
      <w:start w:val="1"/>
      <w:numFmt w:val="lowerLetter"/>
      <w:lvlText w:val="%8."/>
      <w:lvlJc w:val="left"/>
      <w:pPr>
        <w:ind w:left="6868" w:hanging="360"/>
      </w:pPr>
    </w:lvl>
    <w:lvl w:ilvl="8" w:tplc="0419001B" w:tentative="1">
      <w:start w:val="1"/>
      <w:numFmt w:val="lowerRoman"/>
      <w:lvlText w:val="%9."/>
      <w:lvlJc w:val="right"/>
      <w:pPr>
        <w:ind w:left="7588" w:hanging="180"/>
      </w:pPr>
    </w:lvl>
  </w:abstractNum>
  <w:abstractNum w:abstractNumId="8">
    <w:nsid w:val="38E72AF9"/>
    <w:multiLevelType w:val="hybridMultilevel"/>
    <w:tmpl w:val="A24CADE0"/>
    <w:lvl w:ilvl="0" w:tplc="A40248B2">
      <w:start w:val="1"/>
      <w:numFmt w:val="upperRoman"/>
      <w:lvlText w:val="%1."/>
      <w:lvlJc w:val="left"/>
      <w:pPr>
        <w:ind w:left="1147" w:hanging="72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9">
    <w:nsid w:val="3F9F0A46"/>
    <w:multiLevelType w:val="hybridMultilevel"/>
    <w:tmpl w:val="E8B4EAA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1AB058C"/>
    <w:multiLevelType w:val="hybridMultilevel"/>
    <w:tmpl w:val="6CD49ABE"/>
    <w:lvl w:ilvl="0" w:tplc="16423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BF7B7F"/>
    <w:multiLevelType w:val="hybridMultilevel"/>
    <w:tmpl w:val="E11800C8"/>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81F0B8A"/>
    <w:multiLevelType w:val="hybridMultilevel"/>
    <w:tmpl w:val="C5D886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8297DAE"/>
    <w:multiLevelType w:val="hybridMultilevel"/>
    <w:tmpl w:val="BC1C0612"/>
    <w:lvl w:ilvl="0" w:tplc="E166B99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83C7829"/>
    <w:multiLevelType w:val="multilevel"/>
    <w:tmpl w:val="839465DA"/>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D433A9"/>
    <w:multiLevelType w:val="hybridMultilevel"/>
    <w:tmpl w:val="3788C36C"/>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B2E14BB"/>
    <w:multiLevelType w:val="hybridMultilevel"/>
    <w:tmpl w:val="1FB00F60"/>
    <w:lvl w:ilvl="0" w:tplc="7B144D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EAE67C6"/>
    <w:multiLevelType w:val="hybridMultilevel"/>
    <w:tmpl w:val="BC1C0612"/>
    <w:lvl w:ilvl="0" w:tplc="E166B992">
      <w:start w:val="1"/>
      <w:numFmt w:val="decimal"/>
      <w:lvlText w:val="%1."/>
      <w:lvlJc w:val="left"/>
      <w:pPr>
        <w:ind w:left="1468"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9697D4D"/>
    <w:multiLevelType w:val="hybridMultilevel"/>
    <w:tmpl w:val="5CA212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F292389"/>
    <w:multiLevelType w:val="hybridMultilevel"/>
    <w:tmpl w:val="406A8C68"/>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11"/>
  </w:num>
  <w:num w:numId="3">
    <w:abstractNumId w:val="5"/>
  </w:num>
  <w:num w:numId="4">
    <w:abstractNumId w:val="18"/>
  </w:num>
  <w:num w:numId="5">
    <w:abstractNumId w:val="0"/>
  </w:num>
  <w:num w:numId="6">
    <w:abstractNumId w:val="3"/>
  </w:num>
  <w:num w:numId="7">
    <w:abstractNumId w:val="1"/>
  </w:num>
  <w:num w:numId="8">
    <w:abstractNumId w:val="19"/>
  </w:num>
  <w:num w:numId="9">
    <w:abstractNumId w:val="4"/>
  </w:num>
  <w:num w:numId="10">
    <w:abstractNumId w:val="9"/>
  </w:num>
  <w:num w:numId="11">
    <w:abstractNumId w:val="15"/>
  </w:num>
  <w:num w:numId="12">
    <w:abstractNumId w:val="12"/>
  </w:num>
  <w:num w:numId="13">
    <w:abstractNumId w:val="2"/>
  </w:num>
  <w:num w:numId="14">
    <w:abstractNumId w:val="16"/>
  </w:num>
  <w:num w:numId="15">
    <w:abstractNumId w:val="17"/>
  </w:num>
  <w:num w:numId="16">
    <w:abstractNumId w:val="8"/>
  </w:num>
  <w:num w:numId="17">
    <w:abstractNumId w:val="10"/>
  </w:num>
  <w:num w:numId="18">
    <w:abstractNumId w:val="1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FA"/>
    <w:rsid w:val="00001B03"/>
    <w:rsid w:val="00020595"/>
    <w:rsid w:val="00075FAC"/>
    <w:rsid w:val="00080261"/>
    <w:rsid w:val="000876D4"/>
    <w:rsid w:val="000B1F31"/>
    <w:rsid w:val="000C3327"/>
    <w:rsid w:val="000D06A6"/>
    <w:rsid w:val="000D6325"/>
    <w:rsid w:val="000E0B88"/>
    <w:rsid w:val="000E2EF2"/>
    <w:rsid w:val="000F119E"/>
    <w:rsid w:val="0013202C"/>
    <w:rsid w:val="001458A6"/>
    <w:rsid w:val="00150273"/>
    <w:rsid w:val="00193EF5"/>
    <w:rsid w:val="00194352"/>
    <w:rsid w:val="001B0354"/>
    <w:rsid w:val="001C1855"/>
    <w:rsid w:val="001C1C8C"/>
    <w:rsid w:val="001C534D"/>
    <w:rsid w:val="001D19D5"/>
    <w:rsid w:val="001D2121"/>
    <w:rsid w:val="001F5E31"/>
    <w:rsid w:val="00202FC0"/>
    <w:rsid w:val="002274BF"/>
    <w:rsid w:val="00244050"/>
    <w:rsid w:val="002516ED"/>
    <w:rsid w:val="002850C1"/>
    <w:rsid w:val="0029216E"/>
    <w:rsid w:val="002A4561"/>
    <w:rsid w:val="002C13F6"/>
    <w:rsid w:val="002E0736"/>
    <w:rsid w:val="002E2CCE"/>
    <w:rsid w:val="002F019D"/>
    <w:rsid w:val="003172F8"/>
    <w:rsid w:val="00317361"/>
    <w:rsid w:val="00344CA9"/>
    <w:rsid w:val="003559D1"/>
    <w:rsid w:val="003627DB"/>
    <w:rsid w:val="0037181A"/>
    <w:rsid w:val="00374F91"/>
    <w:rsid w:val="00380093"/>
    <w:rsid w:val="003905A3"/>
    <w:rsid w:val="003B0847"/>
    <w:rsid w:val="003E3B9B"/>
    <w:rsid w:val="003E597C"/>
    <w:rsid w:val="0041757B"/>
    <w:rsid w:val="004226BC"/>
    <w:rsid w:val="00422C14"/>
    <w:rsid w:val="004749EF"/>
    <w:rsid w:val="004A3F71"/>
    <w:rsid w:val="004B18BA"/>
    <w:rsid w:val="004B5903"/>
    <w:rsid w:val="0050560E"/>
    <w:rsid w:val="005138FF"/>
    <w:rsid w:val="00514EEB"/>
    <w:rsid w:val="005203B8"/>
    <w:rsid w:val="0053204E"/>
    <w:rsid w:val="00532055"/>
    <w:rsid w:val="00533625"/>
    <w:rsid w:val="00566095"/>
    <w:rsid w:val="00571A22"/>
    <w:rsid w:val="00574679"/>
    <w:rsid w:val="005807DF"/>
    <w:rsid w:val="00591E96"/>
    <w:rsid w:val="005A4A18"/>
    <w:rsid w:val="005B4E9B"/>
    <w:rsid w:val="005B6E14"/>
    <w:rsid w:val="005C450D"/>
    <w:rsid w:val="005D270B"/>
    <w:rsid w:val="005D5619"/>
    <w:rsid w:val="005F4BB1"/>
    <w:rsid w:val="005F6EDD"/>
    <w:rsid w:val="00600799"/>
    <w:rsid w:val="00601BD9"/>
    <w:rsid w:val="006043B9"/>
    <w:rsid w:val="00612995"/>
    <w:rsid w:val="00615222"/>
    <w:rsid w:val="0061665F"/>
    <w:rsid w:val="0064654C"/>
    <w:rsid w:val="00673E07"/>
    <w:rsid w:val="0069186D"/>
    <w:rsid w:val="006B2164"/>
    <w:rsid w:val="006B5693"/>
    <w:rsid w:val="0070107A"/>
    <w:rsid w:val="007122A1"/>
    <w:rsid w:val="0072338F"/>
    <w:rsid w:val="00750478"/>
    <w:rsid w:val="007559C7"/>
    <w:rsid w:val="00764E1E"/>
    <w:rsid w:val="0076524B"/>
    <w:rsid w:val="0077681C"/>
    <w:rsid w:val="00776B0F"/>
    <w:rsid w:val="00785BBD"/>
    <w:rsid w:val="007969EE"/>
    <w:rsid w:val="007B19F0"/>
    <w:rsid w:val="007B4E94"/>
    <w:rsid w:val="007C176E"/>
    <w:rsid w:val="007D5CAA"/>
    <w:rsid w:val="007F413E"/>
    <w:rsid w:val="008060F1"/>
    <w:rsid w:val="00806142"/>
    <w:rsid w:val="008152C2"/>
    <w:rsid w:val="0083798F"/>
    <w:rsid w:val="00860BBF"/>
    <w:rsid w:val="00872C02"/>
    <w:rsid w:val="00882068"/>
    <w:rsid w:val="00884C1E"/>
    <w:rsid w:val="00885BD7"/>
    <w:rsid w:val="0089067E"/>
    <w:rsid w:val="008B09A8"/>
    <w:rsid w:val="008E6CD3"/>
    <w:rsid w:val="008E6ED1"/>
    <w:rsid w:val="008F2C1A"/>
    <w:rsid w:val="00911F44"/>
    <w:rsid w:val="00922F1A"/>
    <w:rsid w:val="0092427C"/>
    <w:rsid w:val="009276EF"/>
    <w:rsid w:val="00932FA2"/>
    <w:rsid w:val="00953D8F"/>
    <w:rsid w:val="00956CC4"/>
    <w:rsid w:val="00987D03"/>
    <w:rsid w:val="009B5421"/>
    <w:rsid w:val="009C1BD9"/>
    <w:rsid w:val="009C64A3"/>
    <w:rsid w:val="009C6D5B"/>
    <w:rsid w:val="00A2241C"/>
    <w:rsid w:val="00A61B9A"/>
    <w:rsid w:val="00AE408D"/>
    <w:rsid w:val="00AE7ACC"/>
    <w:rsid w:val="00AF5BFB"/>
    <w:rsid w:val="00B01D92"/>
    <w:rsid w:val="00B02F8A"/>
    <w:rsid w:val="00B0320C"/>
    <w:rsid w:val="00B04E20"/>
    <w:rsid w:val="00B14EE2"/>
    <w:rsid w:val="00B224A9"/>
    <w:rsid w:val="00B44A28"/>
    <w:rsid w:val="00B50FD5"/>
    <w:rsid w:val="00B74BCF"/>
    <w:rsid w:val="00B91BFE"/>
    <w:rsid w:val="00BD32A8"/>
    <w:rsid w:val="00BD5FB4"/>
    <w:rsid w:val="00BF395E"/>
    <w:rsid w:val="00BF5C27"/>
    <w:rsid w:val="00C008B2"/>
    <w:rsid w:val="00C117A8"/>
    <w:rsid w:val="00C4091D"/>
    <w:rsid w:val="00C443FA"/>
    <w:rsid w:val="00C44432"/>
    <w:rsid w:val="00C45C39"/>
    <w:rsid w:val="00CA2772"/>
    <w:rsid w:val="00CB72BA"/>
    <w:rsid w:val="00CB73DC"/>
    <w:rsid w:val="00CD6E39"/>
    <w:rsid w:val="00CF0D0C"/>
    <w:rsid w:val="00CF306C"/>
    <w:rsid w:val="00D14669"/>
    <w:rsid w:val="00D30677"/>
    <w:rsid w:val="00D72FF1"/>
    <w:rsid w:val="00D74027"/>
    <w:rsid w:val="00D930C0"/>
    <w:rsid w:val="00D94AA3"/>
    <w:rsid w:val="00DA4E48"/>
    <w:rsid w:val="00DB1E5B"/>
    <w:rsid w:val="00DB4B0E"/>
    <w:rsid w:val="00DE6B67"/>
    <w:rsid w:val="00E07C05"/>
    <w:rsid w:val="00E2532B"/>
    <w:rsid w:val="00E256B3"/>
    <w:rsid w:val="00E54E37"/>
    <w:rsid w:val="00E60253"/>
    <w:rsid w:val="00E61861"/>
    <w:rsid w:val="00E70511"/>
    <w:rsid w:val="00E74D19"/>
    <w:rsid w:val="00E75933"/>
    <w:rsid w:val="00E75EFA"/>
    <w:rsid w:val="00E86335"/>
    <w:rsid w:val="00E90A1B"/>
    <w:rsid w:val="00E93818"/>
    <w:rsid w:val="00E963BD"/>
    <w:rsid w:val="00EA6D6F"/>
    <w:rsid w:val="00EC6D88"/>
    <w:rsid w:val="00ED7462"/>
    <w:rsid w:val="00EE4CC7"/>
    <w:rsid w:val="00EE52C2"/>
    <w:rsid w:val="00F15AB1"/>
    <w:rsid w:val="00F235B1"/>
    <w:rsid w:val="00F4276B"/>
    <w:rsid w:val="00F57254"/>
    <w:rsid w:val="00F6131E"/>
    <w:rsid w:val="00F76505"/>
    <w:rsid w:val="00F84E57"/>
    <w:rsid w:val="00F85A02"/>
    <w:rsid w:val="00FC1E00"/>
    <w:rsid w:val="00FD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951D9-36E3-4CF4-A262-274B77F0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E20"/>
    <w:pPr>
      <w:ind w:firstLine="709"/>
    </w:pPr>
    <w:rPr>
      <w:sz w:val="26"/>
      <w:lang w:eastAsia="ru-RU"/>
    </w:rPr>
  </w:style>
  <w:style w:type="paragraph" w:styleId="1">
    <w:name w:val="heading 1"/>
    <w:basedOn w:val="a"/>
    <w:next w:val="a"/>
    <w:link w:val="10"/>
    <w:qFormat/>
    <w:rsid w:val="00B04E20"/>
    <w:pPr>
      <w:keepNext/>
      <w:shd w:val="clear" w:color="auto" w:fill="FFFFFF"/>
      <w:spacing w:before="288" w:line="226" w:lineRule="exact"/>
      <w:ind w:left="427" w:firstLine="0"/>
      <w:jc w:val="both"/>
      <w:outlineLvl w:val="0"/>
    </w:pPr>
    <w:rPr>
      <w:b/>
      <w:color w:val="000000"/>
      <w:spacing w:val="-2"/>
      <w:sz w:val="25"/>
      <w:lang w:eastAsia="en-US"/>
    </w:rPr>
  </w:style>
  <w:style w:type="paragraph" w:styleId="2">
    <w:name w:val="heading 2"/>
    <w:basedOn w:val="a"/>
    <w:next w:val="a"/>
    <w:link w:val="20"/>
    <w:qFormat/>
    <w:rsid w:val="00B04E20"/>
    <w:pPr>
      <w:keepNext/>
      <w:shd w:val="clear" w:color="auto" w:fill="FFFFFF"/>
      <w:tabs>
        <w:tab w:val="left" w:pos="787"/>
      </w:tabs>
      <w:spacing w:before="5" w:line="226" w:lineRule="exact"/>
      <w:ind w:firstLine="0"/>
      <w:jc w:val="both"/>
      <w:outlineLvl w:val="1"/>
    </w:pPr>
    <w:rPr>
      <w:bCs/>
      <w:i/>
      <w:iCs/>
      <w:color w:val="000000"/>
      <w:spacing w:val="-5"/>
      <w:sz w:val="25"/>
    </w:rPr>
  </w:style>
  <w:style w:type="paragraph" w:styleId="3">
    <w:name w:val="heading 3"/>
    <w:basedOn w:val="a"/>
    <w:next w:val="a"/>
    <w:link w:val="30"/>
    <w:qFormat/>
    <w:rsid w:val="00B04E20"/>
    <w:pPr>
      <w:keepNext/>
      <w:ind w:left="-108" w:right="-108" w:firstLine="0"/>
      <w:jc w:val="center"/>
      <w:outlineLvl w:val="2"/>
    </w:pPr>
    <w:rPr>
      <w:b/>
      <w:sz w:val="30"/>
      <w:szCs w:val="24"/>
    </w:rPr>
  </w:style>
  <w:style w:type="paragraph" w:styleId="4">
    <w:name w:val="heading 4"/>
    <w:basedOn w:val="a"/>
    <w:next w:val="a"/>
    <w:link w:val="40"/>
    <w:qFormat/>
    <w:rsid w:val="00B04E20"/>
    <w:pPr>
      <w:keepNext/>
      <w:shd w:val="clear" w:color="auto" w:fill="FFFFFF"/>
      <w:ind w:left="29" w:hanging="29"/>
      <w:jc w:val="both"/>
      <w:outlineLvl w:val="3"/>
    </w:pPr>
    <w:rPr>
      <w:b/>
      <w:color w:val="000000"/>
      <w:spacing w:val="-6"/>
      <w:sz w:val="24"/>
    </w:rPr>
  </w:style>
  <w:style w:type="paragraph" w:styleId="5">
    <w:name w:val="heading 5"/>
    <w:basedOn w:val="a"/>
    <w:next w:val="a"/>
    <w:link w:val="50"/>
    <w:qFormat/>
    <w:rsid w:val="00B04E20"/>
    <w:pPr>
      <w:keepNext/>
      <w:shd w:val="clear" w:color="auto" w:fill="FFFFFF"/>
      <w:tabs>
        <w:tab w:val="left" w:pos="787"/>
      </w:tabs>
      <w:spacing w:before="5" w:line="226" w:lineRule="exact"/>
      <w:ind w:left="427" w:firstLine="0"/>
      <w:jc w:val="right"/>
      <w:outlineLvl w:val="4"/>
    </w:pPr>
    <w:rPr>
      <w:sz w:val="28"/>
    </w:rPr>
  </w:style>
  <w:style w:type="paragraph" w:styleId="6">
    <w:name w:val="heading 6"/>
    <w:basedOn w:val="a"/>
    <w:next w:val="a"/>
    <w:link w:val="60"/>
    <w:qFormat/>
    <w:rsid w:val="00B04E20"/>
    <w:pPr>
      <w:keepNext/>
      <w:ind w:firstLine="0"/>
      <w:jc w:val="both"/>
      <w:outlineLvl w:val="5"/>
    </w:pPr>
    <w:rPr>
      <w:i/>
      <w:sz w:val="28"/>
    </w:rPr>
  </w:style>
  <w:style w:type="paragraph" w:styleId="7">
    <w:name w:val="heading 7"/>
    <w:basedOn w:val="a"/>
    <w:next w:val="a"/>
    <w:link w:val="70"/>
    <w:qFormat/>
    <w:rsid w:val="00B04E20"/>
    <w:pPr>
      <w:keepNext/>
      <w:ind w:right="-99" w:firstLine="0"/>
      <w:jc w:val="center"/>
      <w:outlineLvl w:val="6"/>
    </w:pPr>
    <w:rPr>
      <w:b/>
      <w:sz w:val="23"/>
    </w:rPr>
  </w:style>
  <w:style w:type="paragraph" w:styleId="8">
    <w:name w:val="heading 8"/>
    <w:basedOn w:val="a"/>
    <w:next w:val="a"/>
    <w:link w:val="80"/>
    <w:qFormat/>
    <w:rsid w:val="00B04E20"/>
    <w:pPr>
      <w:keepNext/>
      <w:ind w:firstLine="0"/>
      <w:jc w:val="both"/>
      <w:outlineLvl w:val="7"/>
    </w:pPr>
    <w:rPr>
      <w:b/>
      <w:bCs/>
      <w:i/>
      <w:iCs/>
      <w:sz w:val="24"/>
    </w:rPr>
  </w:style>
  <w:style w:type="paragraph" w:styleId="9">
    <w:name w:val="heading 9"/>
    <w:basedOn w:val="a"/>
    <w:next w:val="a"/>
    <w:link w:val="90"/>
    <w:qFormat/>
    <w:rsid w:val="00B04E20"/>
    <w:pPr>
      <w:keepNext/>
      <w:shd w:val="clear" w:color="auto" w:fill="FFFFFF"/>
      <w:spacing w:before="115"/>
      <w:ind w:left="4536" w:firstLine="0"/>
      <w:outlineLvl w:val="8"/>
    </w:pPr>
    <w:rPr>
      <w:color w:val="000000"/>
      <w:spacing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4E20"/>
    <w:rPr>
      <w:b/>
      <w:color w:val="000000"/>
      <w:spacing w:val="-2"/>
      <w:sz w:val="25"/>
      <w:shd w:val="clear" w:color="auto" w:fill="FFFFFF"/>
    </w:rPr>
  </w:style>
  <w:style w:type="character" w:customStyle="1" w:styleId="20">
    <w:name w:val="Заголовок 2 Знак"/>
    <w:basedOn w:val="a0"/>
    <w:link w:val="2"/>
    <w:rsid w:val="00B04E20"/>
    <w:rPr>
      <w:bCs/>
      <w:i/>
      <w:iCs/>
      <w:color w:val="000000"/>
      <w:spacing w:val="-5"/>
      <w:sz w:val="25"/>
      <w:shd w:val="clear" w:color="auto" w:fill="FFFFFF"/>
      <w:lang w:eastAsia="ru-RU"/>
    </w:rPr>
  </w:style>
  <w:style w:type="character" w:customStyle="1" w:styleId="30">
    <w:name w:val="Заголовок 3 Знак"/>
    <w:basedOn w:val="a0"/>
    <w:link w:val="3"/>
    <w:rsid w:val="00B04E20"/>
    <w:rPr>
      <w:b/>
      <w:sz w:val="30"/>
      <w:szCs w:val="24"/>
      <w:lang w:eastAsia="ru-RU"/>
    </w:rPr>
  </w:style>
  <w:style w:type="character" w:customStyle="1" w:styleId="40">
    <w:name w:val="Заголовок 4 Знак"/>
    <w:basedOn w:val="a0"/>
    <w:link w:val="4"/>
    <w:rsid w:val="00B04E20"/>
    <w:rPr>
      <w:b/>
      <w:color w:val="000000"/>
      <w:spacing w:val="-6"/>
      <w:sz w:val="24"/>
      <w:shd w:val="clear" w:color="auto" w:fill="FFFFFF"/>
      <w:lang w:eastAsia="ru-RU"/>
    </w:rPr>
  </w:style>
  <w:style w:type="character" w:customStyle="1" w:styleId="50">
    <w:name w:val="Заголовок 5 Знак"/>
    <w:basedOn w:val="a0"/>
    <w:link w:val="5"/>
    <w:rsid w:val="00B04E20"/>
    <w:rPr>
      <w:sz w:val="28"/>
      <w:shd w:val="clear" w:color="auto" w:fill="FFFFFF"/>
      <w:lang w:eastAsia="ru-RU"/>
    </w:rPr>
  </w:style>
  <w:style w:type="character" w:customStyle="1" w:styleId="60">
    <w:name w:val="Заголовок 6 Знак"/>
    <w:basedOn w:val="a0"/>
    <w:link w:val="6"/>
    <w:rsid w:val="00B04E20"/>
    <w:rPr>
      <w:i/>
      <w:sz w:val="28"/>
      <w:lang w:eastAsia="ru-RU"/>
    </w:rPr>
  </w:style>
  <w:style w:type="character" w:customStyle="1" w:styleId="70">
    <w:name w:val="Заголовок 7 Знак"/>
    <w:basedOn w:val="a0"/>
    <w:link w:val="7"/>
    <w:rsid w:val="00B04E20"/>
    <w:rPr>
      <w:b/>
      <w:sz w:val="23"/>
      <w:lang w:eastAsia="ru-RU"/>
    </w:rPr>
  </w:style>
  <w:style w:type="character" w:customStyle="1" w:styleId="80">
    <w:name w:val="Заголовок 8 Знак"/>
    <w:basedOn w:val="a0"/>
    <w:link w:val="8"/>
    <w:rsid w:val="00B04E20"/>
    <w:rPr>
      <w:b/>
      <w:bCs/>
      <w:i/>
      <w:iCs/>
      <w:sz w:val="24"/>
      <w:lang w:eastAsia="ru-RU"/>
    </w:rPr>
  </w:style>
  <w:style w:type="character" w:customStyle="1" w:styleId="90">
    <w:name w:val="Заголовок 9 Знак"/>
    <w:basedOn w:val="a0"/>
    <w:link w:val="9"/>
    <w:rsid w:val="00B04E20"/>
    <w:rPr>
      <w:color w:val="000000"/>
      <w:spacing w:val="-2"/>
      <w:sz w:val="25"/>
      <w:shd w:val="clear" w:color="auto" w:fill="FFFFFF"/>
      <w:lang w:eastAsia="ru-RU"/>
    </w:rPr>
  </w:style>
  <w:style w:type="paragraph" w:styleId="a3">
    <w:name w:val="caption"/>
    <w:basedOn w:val="a"/>
    <w:next w:val="a"/>
    <w:qFormat/>
    <w:rsid w:val="00B04E20"/>
    <w:pPr>
      <w:jc w:val="center"/>
    </w:pPr>
    <w:rPr>
      <w:b/>
      <w:sz w:val="28"/>
    </w:rPr>
  </w:style>
  <w:style w:type="paragraph" w:styleId="a4">
    <w:name w:val="Title"/>
    <w:basedOn w:val="a"/>
    <w:link w:val="a5"/>
    <w:qFormat/>
    <w:rsid w:val="00B04E20"/>
    <w:pPr>
      <w:widowControl w:val="0"/>
      <w:shd w:val="clear" w:color="auto" w:fill="FFFFFF"/>
      <w:autoSpaceDE w:val="0"/>
      <w:autoSpaceDN w:val="0"/>
      <w:adjustRightInd w:val="0"/>
      <w:spacing w:line="365" w:lineRule="exact"/>
      <w:ind w:left="130" w:firstLine="0"/>
      <w:jc w:val="center"/>
      <w:outlineLvl w:val="0"/>
    </w:pPr>
    <w:rPr>
      <w:b/>
      <w:color w:val="000000"/>
      <w:spacing w:val="-9"/>
      <w:sz w:val="28"/>
    </w:rPr>
  </w:style>
  <w:style w:type="character" w:customStyle="1" w:styleId="a5">
    <w:name w:val="Название Знак"/>
    <w:basedOn w:val="a0"/>
    <w:link w:val="a4"/>
    <w:rsid w:val="00B04E20"/>
    <w:rPr>
      <w:b/>
      <w:color w:val="000000"/>
      <w:spacing w:val="-9"/>
      <w:sz w:val="28"/>
      <w:shd w:val="clear" w:color="auto" w:fill="FFFFFF"/>
      <w:lang w:eastAsia="ru-RU"/>
    </w:rPr>
  </w:style>
  <w:style w:type="character" w:styleId="a6">
    <w:name w:val="Strong"/>
    <w:qFormat/>
    <w:rsid w:val="00B04E20"/>
    <w:rPr>
      <w:b/>
      <w:bCs/>
    </w:rPr>
  </w:style>
  <w:style w:type="paragraph" w:customStyle="1" w:styleId="ConsPlusNormal">
    <w:name w:val="ConsPlusNormal"/>
    <w:rsid w:val="00C443FA"/>
    <w:pPr>
      <w:widowControl w:val="0"/>
      <w:autoSpaceDE w:val="0"/>
      <w:autoSpaceDN w:val="0"/>
    </w:pPr>
    <w:rPr>
      <w:sz w:val="26"/>
      <w:lang w:eastAsia="ru-RU"/>
    </w:rPr>
  </w:style>
  <w:style w:type="paragraph" w:customStyle="1" w:styleId="ConsPlusTitle">
    <w:name w:val="ConsPlusTitle"/>
    <w:rsid w:val="00C443FA"/>
    <w:pPr>
      <w:widowControl w:val="0"/>
      <w:autoSpaceDE w:val="0"/>
      <w:autoSpaceDN w:val="0"/>
    </w:pPr>
    <w:rPr>
      <w:b/>
      <w:sz w:val="26"/>
      <w:lang w:eastAsia="ru-RU"/>
    </w:rPr>
  </w:style>
  <w:style w:type="paragraph" w:customStyle="1" w:styleId="ConsPlusTitlePage">
    <w:name w:val="ConsPlusTitlePage"/>
    <w:rsid w:val="00C443FA"/>
    <w:pPr>
      <w:widowControl w:val="0"/>
      <w:autoSpaceDE w:val="0"/>
      <w:autoSpaceDN w:val="0"/>
    </w:pPr>
    <w:rPr>
      <w:rFonts w:ascii="Tahoma" w:hAnsi="Tahoma" w:cs="Tahoma"/>
      <w:lang w:eastAsia="ru-RU"/>
    </w:rPr>
  </w:style>
  <w:style w:type="character" w:styleId="a7">
    <w:name w:val="Hyperlink"/>
    <w:basedOn w:val="a0"/>
    <w:uiPriority w:val="99"/>
    <w:unhideWhenUsed/>
    <w:rsid w:val="003627DB"/>
    <w:rPr>
      <w:color w:val="0000FF" w:themeColor="hyperlink"/>
      <w:u w:val="single"/>
    </w:rPr>
  </w:style>
  <w:style w:type="paragraph" w:styleId="a8">
    <w:name w:val="header"/>
    <w:basedOn w:val="a"/>
    <w:link w:val="a9"/>
    <w:uiPriority w:val="99"/>
    <w:unhideWhenUsed/>
    <w:rsid w:val="003559D1"/>
    <w:pPr>
      <w:tabs>
        <w:tab w:val="center" w:pos="4677"/>
        <w:tab w:val="right" w:pos="9355"/>
      </w:tabs>
    </w:pPr>
  </w:style>
  <w:style w:type="character" w:customStyle="1" w:styleId="a9">
    <w:name w:val="Верхний колонтитул Знак"/>
    <w:basedOn w:val="a0"/>
    <w:link w:val="a8"/>
    <w:uiPriority w:val="99"/>
    <w:rsid w:val="003559D1"/>
    <w:rPr>
      <w:sz w:val="26"/>
      <w:lang w:eastAsia="ru-RU"/>
    </w:rPr>
  </w:style>
  <w:style w:type="paragraph" w:styleId="aa">
    <w:name w:val="footer"/>
    <w:basedOn w:val="a"/>
    <w:link w:val="ab"/>
    <w:uiPriority w:val="99"/>
    <w:unhideWhenUsed/>
    <w:rsid w:val="003559D1"/>
    <w:pPr>
      <w:tabs>
        <w:tab w:val="center" w:pos="4677"/>
        <w:tab w:val="right" w:pos="9355"/>
      </w:tabs>
    </w:pPr>
  </w:style>
  <w:style w:type="character" w:customStyle="1" w:styleId="ab">
    <w:name w:val="Нижний колонтитул Знак"/>
    <w:basedOn w:val="a0"/>
    <w:link w:val="aa"/>
    <w:uiPriority w:val="99"/>
    <w:rsid w:val="003559D1"/>
    <w:rPr>
      <w:sz w:val="26"/>
      <w:lang w:eastAsia="ru-RU"/>
    </w:rPr>
  </w:style>
  <w:style w:type="paragraph" w:styleId="ac">
    <w:name w:val="Balloon Text"/>
    <w:basedOn w:val="a"/>
    <w:link w:val="ad"/>
    <w:uiPriority w:val="99"/>
    <w:semiHidden/>
    <w:unhideWhenUsed/>
    <w:rsid w:val="00806142"/>
    <w:rPr>
      <w:rFonts w:ascii="Tahoma" w:hAnsi="Tahoma" w:cs="Tahoma"/>
      <w:sz w:val="16"/>
      <w:szCs w:val="16"/>
    </w:rPr>
  </w:style>
  <w:style w:type="character" w:customStyle="1" w:styleId="ad">
    <w:name w:val="Текст выноски Знак"/>
    <w:basedOn w:val="a0"/>
    <w:link w:val="ac"/>
    <w:uiPriority w:val="99"/>
    <w:semiHidden/>
    <w:rsid w:val="00806142"/>
    <w:rPr>
      <w:rFonts w:ascii="Tahoma" w:hAnsi="Tahoma" w:cs="Tahoma"/>
      <w:sz w:val="16"/>
      <w:szCs w:val="16"/>
      <w:lang w:eastAsia="ru-RU"/>
    </w:rPr>
  </w:style>
  <w:style w:type="paragraph" w:styleId="ae">
    <w:name w:val="List Paragraph"/>
    <w:basedOn w:val="a"/>
    <w:uiPriority w:val="34"/>
    <w:qFormat/>
    <w:rsid w:val="00DB4B0E"/>
    <w:pPr>
      <w:ind w:left="720"/>
      <w:contextualSpacing/>
    </w:pPr>
  </w:style>
  <w:style w:type="paragraph" w:styleId="af">
    <w:name w:val="footnote text"/>
    <w:basedOn w:val="a"/>
    <w:link w:val="af0"/>
    <w:uiPriority w:val="99"/>
    <w:semiHidden/>
    <w:unhideWhenUsed/>
    <w:rsid w:val="00AE408D"/>
    <w:rPr>
      <w:sz w:val="20"/>
    </w:rPr>
  </w:style>
  <w:style w:type="character" w:customStyle="1" w:styleId="af0">
    <w:name w:val="Текст сноски Знак"/>
    <w:basedOn w:val="a0"/>
    <w:link w:val="af"/>
    <w:uiPriority w:val="99"/>
    <w:semiHidden/>
    <w:rsid w:val="00AE408D"/>
    <w:rPr>
      <w:lang w:eastAsia="ru-RU"/>
    </w:rPr>
  </w:style>
  <w:style w:type="character" w:styleId="af1">
    <w:name w:val="footnote reference"/>
    <w:basedOn w:val="a0"/>
    <w:uiPriority w:val="99"/>
    <w:semiHidden/>
    <w:unhideWhenUsed/>
    <w:rsid w:val="00AE408D"/>
    <w:rPr>
      <w:vertAlign w:val="superscript"/>
    </w:rPr>
  </w:style>
  <w:style w:type="paragraph" w:styleId="af2">
    <w:name w:val="endnote text"/>
    <w:basedOn w:val="a"/>
    <w:link w:val="af3"/>
    <w:uiPriority w:val="99"/>
    <w:semiHidden/>
    <w:unhideWhenUsed/>
    <w:rsid w:val="00AE408D"/>
    <w:rPr>
      <w:sz w:val="20"/>
    </w:rPr>
  </w:style>
  <w:style w:type="character" w:customStyle="1" w:styleId="af3">
    <w:name w:val="Текст концевой сноски Знак"/>
    <w:basedOn w:val="a0"/>
    <w:link w:val="af2"/>
    <w:uiPriority w:val="99"/>
    <w:semiHidden/>
    <w:rsid w:val="00AE408D"/>
    <w:rPr>
      <w:lang w:eastAsia="ru-RU"/>
    </w:rPr>
  </w:style>
  <w:style w:type="character" w:styleId="af4">
    <w:name w:val="endnote reference"/>
    <w:basedOn w:val="a0"/>
    <w:uiPriority w:val="99"/>
    <w:semiHidden/>
    <w:unhideWhenUsed/>
    <w:rsid w:val="00AE408D"/>
    <w:rPr>
      <w:vertAlign w:val="superscript"/>
    </w:rPr>
  </w:style>
  <w:style w:type="table" w:styleId="af5">
    <w:name w:val="Table Grid"/>
    <w:basedOn w:val="a1"/>
    <w:uiPriority w:val="59"/>
    <w:rsid w:val="00571A22"/>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580">
      <w:bodyDiv w:val="1"/>
      <w:marLeft w:val="0"/>
      <w:marRight w:val="0"/>
      <w:marTop w:val="0"/>
      <w:marBottom w:val="0"/>
      <w:divBdr>
        <w:top w:val="none" w:sz="0" w:space="0" w:color="auto"/>
        <w:left w:val="none" w:sz="0" w:space="0" w:color="auto"/>
        <w:bottom w:val="none" w:sz="0" w:space="0" w:color="auto"/>
        <w:right w:val="none" w:sz="0" w:space="0" w:color="auto"/>
      </w:divBdr>
    </w:div>
    <w:div w:id="219676891">
      <w:bodyDiv w:val="1"/>
      <w:marLeft w:val="0"/>
      <w:marRight w:val="0"/>
      <w:marTop w:val="0"/>
      <w:marBottom w:val="0"/>
      <w:divBdr>
        <w:top w:val="none" w:sz="0" w:space="0" w:color="auto"/>
        <w:left w:val="none" w:sz="0" w:space="0" w:color="auto"/>
        <w:bottom w:val="none" w:sz="0" w:space="0" w:color="auto"/>
        <w:right w:val="none" w:sz="0" w:space="0" w:color="auto"/>
      </w:divBdr>
    </w:div>
    <w:div w:id="863522835">
      <w:bodyDiv w:val="1"/>
      <w:marLeft w:val="0"/>
      <w:marRight w:val="0"/>
      <w:marTop w:val="0"/>
      <w:marBottom w:val="0"/>
      <w:divBdr>
        <w:top w:val="none" w:sz="0" w:space="0" w:color="auto"/>
        <w:left w:val="none" w:sz="0" w:space="0" w:color="auto"/>
        <w:bottom w:val="none" w:sz="0" w:space="0" w:color="auto"/>
        <w:right w:val="none" w:sz="0" w:space="0" w:color="auto"/>
      </w:divBdr>
    </w:div>
    <w:div w:id="1412577189">
      <w:bodyDiv w:val="1"/>
      <w:marLeft w:val="0"/>
      <w:marRight w:val="0"/>
      <w:marTop w:val="0"/>
      <w:marBottom w:val="0"/>
      <w:divBdr>
        <w:top w:val="none" w:sz="0" w:space="0" w:color="auto"/>
        <w:left w:val="none" w:sz="0" w:space="0" w:color="auto"/>
        <w:bottom w:val="none" w:sz="0" w:space="0" w:color="auto"/>
        <w:right w:val="none" w:sz="0" w:space="0" w:color="auto"/>
      </w:divBdr>
    </w:div>
    <w:div w:id="18881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F4DA-B02C-4A85-882A-B6D30D77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9350</Words>
  <Characters>53299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Власова</dc:creator>
  <cp:lastModifiedBy>Татьяна</cp:lastModifiedBy>
  <cp:revision>9</cp:revision>
  <cp:lastPrinted>2019-11-12T07:31:00Z</cp:lastPrinted>
  <dcterms:created xsi:type="dcterms:W3CDTF">2021-10-07T07:18:00Z</dcterms:created>
  <dcterms:modified xsi:type="dcterms:W3CDTF">2021-11-17T07:26:00Z</dcterms:modified>
</cp:coreProperties>
</file>