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79" w:rsidRPr="00C23779" w:rsidRDefault="00C23779" w:rsidP="00C23779">
      <w:pPr>
        <w:spacing w:after="0" w:line="507" w:lineRule="atLeast"/>
        <w:ind w:right="276" w:firstLine="0"/>
        <w:jc w:val="left"/>
        <w:outlineLvl w:val="0"/>
        <w:rPr>
          <w:rFonts w:ascii="Arial" w:eastAsia="Times New Roman" w:hAnsi="Arial" w:cs="Arial"/>
          <w:b/>
          <w:bCs/>
          <w:color w:val="143370"/>
          <w:kern w:val="36"/>
          <w:sz w:val="42"/>
          <w:szCs w:val="42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kern w:val="36"/>
          <w:sz w:val="42"/>
          <w:lang w:eastAsia="ru-RU"/>
        </w:rPr>
        <w:t>Извещение № 22000210460000000001</w:t>
      </w:r>
    </w:p>
    <w:p w:rsidR="00C23779" w:rsidRPr="00C23779" w:rsidRDefault="00C23779" w:rsidP="00C23779">
      <w:pPr>
        <w:spacing w:after="0" w:line="184" w:lineRule="atLeast"/>
        <w:ind w:right="276" w:firstLine="0"/>
        <w:jc w:val="left"/>
        <w:outlineLvl w:val="0"/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  <w:t>Опубликовано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9DA8BD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>Версия 1. Актуальная, от 30.12.2022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создания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29.12.2022 </w:t>
      </w:r>
      <w:r w:rsidRPr="00C23779">
        <w:rPr>
          <w:rFonts w:ascii="Arial" w:eastAsia="Times New Roman" w:hAnsi="Arial" w:cs="Arial"/>
          <w:color w:val="9DA8BD"/>
          <w:sz w:val="16"/>
          <w:lang w:eastAsia="ru-RU"/>
        </w:rPr>
        <w:t>17:48 (МСК+4)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публикации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30.12.2022 </w:t>
      </w:r>
      <w:r w:rsidRPr="00C23779">
        <w:rPr>
          <w:rFonts w:ascii="Arial" w:eastAsia="Times New Roman" w:hAnsi="Arial" w:cs="Arial"/>
          <w:color w:val="9DA8BD"/>
          <w:sz w:val="16"/>
          <w:lang w:eastAsia="ru-RU"/>
        </w:rPr>
        <w:t>10:59 (МСК+4)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изменения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30.12.2022 </w:t>
      </w:r>
      <w:r w:rsidRPr="00C23779">
        <w:rPr>
          <w:rFonts w:ascii="Arial" w:eastAsia="Times New Roman" w:hAnsi="Arial" w:cs="Arial"/>
          <w:color w:val="9DA8BD"/>
          <w:sz w:val="16"/>
          <w:lang w:eastAsia="ru-RU"/>
        </w:rPr>
        <w:t>10:59 (МСК+4)</w:t>
      </w:r>
    </w:p>
    <w:p w:rsidR="00C23779" w:rsidRPr="00C23779" w:rsidRDefault="00C23779" w:rsidP="00C23779">
      <w:pPr>
        <w:spacing w:after="369" w:line="369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  <w:t>Основные сведения об извещении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Вид торгов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Форма проведения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Электронный аукцион</w:t>
      </w:r>
    </w:p>
    <w:p w:rsidR="00C23779" w:rsidRPr="00C23779" w:rsidRDefault="00C23779" w:rsidP="00C23779">
      <w:pPr>
        <w:shd w:val="clear" w:color="auto" w:fill="F3F7FE"/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Наименование процедуры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Аукцион, открытый по составу участников и форме подачи предложений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Электронная площадка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Times New Roman" w:eastAsia="Times New Roman" w:hAnsi="Times New Roman" w:cs="Times New Roman"/>
          <w:color w:val="115DEE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fldChar w:fldCharType="begin"/>
      </w: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instrText xml:space="preserve"> HYPERLINK "http://www.rts-tender.ru/" \t "_blank" </w:instrText>
      </w: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fldChar w:fldCharType="separate"/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9">
        <w:rPr>
          <w:rFonts w:ascii="Arial" w:eastAsia="Times New Roman" w:hAnsi="Arial" w:cs="Arial"/>
          <w:color w:val="115DEE"/>
          <w:sz w:val="16"/>
          <w:szCs w:val="16"/>
          <w:lang w:eastAsia="ru-RU"/>
        </w:rPr>
        <w:t>РТС-тендер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fldChar w:fldCharType="end"/>
      </w:r>
    </w:p>
    <w:p w:rsidR="00C23779" w:rsidRPr="00C23779" w:rsidRDefault="00C23779" w:rsidP="00C23779">
      <w:pPr>
        <w:spacing w:after="369" w:line="369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  <w:t>Организатор торгов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2200021046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14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proofErr w:type="spell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Катайгинское</w:t>
      </w:r>
      <w:proofErr w:type="spell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 сельское поселение </w:t>
      </w:r>
      <w:proofErr w:type="spell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Верхнекетского</w:t>
      </w:r>
      <w:proofErr w:type="spell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 района Томской области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МУНИЦИПАЛЬНОЕ УНИТАРНОЕ ПРЕДПРИЯТИЕ "КАТАЙГИНСКОЕ" ВЕРХНЕКЕТСКОГО РАЙОНА ТОМСКОЙ ОБЛАСТИ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7004007987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700401001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1187031069356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636518, ОБЛАСТЬ ТОМСКАЯ</w:t>
      </w:r>
      <w:proofErr w:type="gram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,Р</w:t>
      </w:r>
      <w:proofErr w:type="gram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АЙОН ВЕРХНЕКЕТСКИЙ,ПОСЕЛОК КАТАЙГА,УЛИЦА ФРУНЗЕ д. ДОМ 21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636518, ОБЛАСТЬ ТОМСКАЯ</w:t>
      </w:r>
      <w:proofErr w:type="gram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,Р</w:t>
      </w:r>
      <w:proofErr w:type="gram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АЙОН ВЕРХНЕКЕТСКИЙ,ПОСЕЛОК КАТАЙГА,УЛИЦА ФРУНЗЕ д. ДОМ 21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Контактное лицо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Лоскутова Алёна Александровна 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Телефон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8-38-258-2-12-20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Адрес электронной почты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mup.kat@rambler.ru</w:t>
      </w:r>
    </w:p>
    <w:p w:rsidR="00C23779" w:rsidRPr="00C23779" w:rsidRDefault="00C23779" w:rsidP="00C23779">
      <w:pPr>
        <w:spacing w:after="369" w:line="369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  <w:t>Сведения о правообладателе/инициаторе торгов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Организатор торгов является правообладателем имущества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2200021046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lastRenderedPageBreak/>
        <w:t>ОКФС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14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proofErr w:type="spell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Катайгинское</w:t>
      </w:r>
      <w:proofErr w:type="spell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 сельское поселение </w:t>
      </w:r>
      <w:proofErr w:type="spell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Верхнекетского</w:t>
      </w:r>
      <w:proofErr w:type="spell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 района Томской области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МУНИЦИПАЛЬНОЕ УНИТАРНОЕ ПРЕДПРИЯТИЕ "КАТАЙГИНСКОЕ" ВЕРХНЕКЕТСКОГО РАЙОНА ТОМСКОЙ ОБЛАСТИ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7004007987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700401001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1187031069356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636518, ОБЛАСТЬ ТОМСКАЯ</w:t>
      </w:r>
      <w:proofErr w:type="gram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,Р</w:t>
      </w:r>
      <w:proofErr w:type="gram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АЙОН ВЕРХНЕКЕТСКИЙ,ПОСЕЛОК КАТАЙГА,УЛИЦА ФРУНЗЕ д. ДОМ 21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636518, ОБЛАСТЬ ТОМСКАЯ</w:t>
      </w:r>
      <w:proofErr w:type="gram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,Р</w:t>
      </w:r>
      <w:proofErr w:type="gram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АЙОН ВЕРХНЕКЕТСКИЙ,ПОСЕЛОК КАТАЙГА,УЛИЦА ФРУНЗЕ д. ДОМ 21</w:t>
      </w:r>
    </w:p>
    <w:p w:rsidR="00C23779" w:rsidRPr="00C23779" w:rsidRDefault="00C23779" w:rsidP="00C23779">
      <w:pPr>
        <w:spacing w:after="369" w:line="369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  <w:t>Информация о лотах</w:t>
      </w:r>
    </w:p>
    <w:p w:rsidR="00C23779" w:rsidRPr="00C23779" w:rsidRDefault="00C23779" w:rsidP="00C23779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:rsidR="00C23779" w:rsidRPr="00C23779" w:rsidRDefault="00C23779" w:rsidP="00C23779">
      <w:pPr>
        <w:spacing w:after="46" w:line="323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143370"/>
          <w:sz w:val="25"/>
          <w:szCs w:val="25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25"/>
          <w:szCs w:val="25"/>
          <w:lang w:eastAsia="ru-RU"/>
        </w:rPr>
        <w:t>Лот 1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9DA8BD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 xml:space="preserve">Сдача в аренду нежилые помещений с номерами на плане 1,5,8 расположенные по адресу: 636518, Томская область, </w:t>
      </w:r>
      <w:proofErr w:type="spellStart"/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>Верхнекетский</w:t>
      </w:r>
      <w:proofErr w:type="spellEnd"/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 xml:space="preserve"> район, </w:t>
      </w:r>
      <w:proofErr w:type="spellStart"/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>п</w:t>
      </w:r>
      <w:proofErr w:type="gramStart"/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>.К</w:t>
      </w:r>
      <w:proofErr w:type="gramEnd"/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>атайга</w:t>
      </w:r>
      <w:proofErr w:type="spellEnd"/>
      <w:r w:rsidRPr="00C23779">
        <w:rPr>
          <w:rFonts w:ascii="Arial" w:eastAsia="Times New Roman" w:hAnsi="Arial" w:cs="Arial"/>
          <w:color w:val="9DA8BD"/>
          <w:sz w:val="16"/>
          <w:szCs w:val="16"/>
          <w:lang w:eastAsia="ru-RU"/>
        </w:rPr>
        <w:t>, проспект Фрунзе,21 площадью 65 кв.м.</w:t>
      </w:r>
    </w:p>
    <w:p w:rsidR="00C23779" w:rsidRPr="00C23779" w:rsidRDefault="00C23779" w:rsidP="00C23779">
      <w:pPr>
        <w:spacing w:after="369" w:line="369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  <w:t>Требования к заявкам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Требования, предъявляемые к участнику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 Участники аукциона должны соответствовать требованиям, установленным законодательством РФ к таким участникам. Обязанность доказать свое право на участие в аукционе возлагается на претендента. 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Перечень документов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proofErr w:type="gram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Указан</w:t>
      </w:r>
      <w:proofErr w:type="gramEnd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 в п. 18.2 аукционной карты 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 к документам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proofErr w:type="gramStart"/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 xml:space="preserve">Указаны в п. 18.2 аукционной карты </w:t>
      </w:r>
      <w:proofErr w:type="gramEnd"/>
    </w:p>
    <w:p w:rsidR="00C23779" w:rsidRPr="00C23779" w:rsidRDefault="00C23779" w:rsidP="00C23779">
      <w:pPr>
        <w:spacing w:after="369" w:line="369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</w:pPr>
      <w:r w:rsidRPr="00C23779">
        <w:rPr>
          <w:rFonts w:ascii="Arial" w:eastAsia="Times New Roman" w:hAnsi="Arial" w:cs="Arial"/>
          <w:b/>
          <w:bCs/>
          <w:color w:val="143370"/>
          <w:sz w:val="30"/>
          <w:szCs w:val="30"/>
          <w:lang w:eastAsia="ru-RU"/>
        </w:rPr>
        <w:t>Условия проведения процедуры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подачи заявок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31.12.2022 </w:t>
      </w:r>
      <w:r w:rsidRPr="00C23779">
        <w:rPr>
          <w:rFonts w:ascii="Arial" w:eastAsia="Times New Roman" w:hAnsi="Arial" w:cs="Arial"/>
          <w:color w:val="9DA8BD"/>
          <w:sz w:val="16"/>
          <w:lang w:eastAsia="ru-RU"/>
        </w:rPr>
        <w:t>09:00 (МСК+4)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окончания подачи заявок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22.01.2023 </w:t>
      </w:r>
      <w:r w:rsidRPr="00C23779">
        <w:rPr>
          <w:rFonts w:ascii="Arial" w:eastAsia="Times New Roman" w:hAnsi="Arial" w:cs="Arial"/>
          <w:color w:val="9DA8BD"/>
          <w:sz w:val="16"/>
          <w:lang w:eastAsia="ru-RU"/>
        </w:rPr>
        <w:t>23:00 (МСК+4)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рассмотрения заявок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24.01.2023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проведения аукциона</w:t>
      </w:r>
    </w:p>
    <w:p w:rsidR="00C23779" w:rsidRPr="00C23779" w:rsidRDefault="00C23779" w:rsidP="00C23779">
      <w:pPr>
        <w:spacing w:after="0"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26.01.2023 </w:t>
      </w:r>
      <w:r w:rsidRPr="00C23779">
        <w:rPr>
          <w:rFonts w:ascii="Arial" w:eastAsia="Times New Roman" w:hAnsi="Arial" w:cs="Arial"/>
          <w:color w:val="9DA8BD"/>
          <w:sz w:val="16"/>
          <w:lang w:eastAsia="ru-RU"/>
        </w:rPr>
        <w:t>09:00 (МСК+4)</w:t>
      </w:r>
    </w:p>
    <w:p w:rsidR="00C23779" w:rsidRPr="00C23779" w:rsidRDefault="00C23779" w:rsidP="00C23779">
      <w:pPr>
        <w:spacing w:after="46" w:line="184" w:lineRule="atLeast"/>
        <w:ind w:firstLine="0"/>
        <w:jc w:val="lef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C23779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Срок отказа организатора от аукциона</w:t>
      </w:r>
    </w:p>
    <w:p w:rsidR="00C23779" w:rsidRPr="00C23779" w:rsidRDefault="00C23779" w:rsidP="00C23779">
      <w:pPr>
        <w:spacing w:line="230" w:lineRule="atLeast"/>
        <w:ind w:firstLine="0"/>
        <w:jc w:val="left"/>
        <w:rPr>
          <w:rFonts w:ascii="Arial" w:eastAsia="Times New Roman" w:hAnsi="Arial" w:cs="Arial"/>
          <w:color w:val="143370"/>
          <w:sz w:val="16"/>
          <w:szCs w:val="16"/>
          <w:lang w:eastAsia="ru-RU"/>
        </w:rPr>
      </w:pPr>
      <w:r w:rsidRPr="00C23779">
        <w:rPr>
          <w:rFonts w:ascii="Arial" w:eastAsia="Times New Roman" w:hAnsi="Arial" w:cs="Arial"/>
          <w:color w:val="143370"/>
          <w:sz w:val="16"/>
          <w:szCs w:val="16"/>
          <w:lang w:eastAsia="ru-RU"/>
        </w:rPr>
        <w:t>17.01.2023 00:00 (МСК+4)</w:t>
      </w:r>
    </w:p>
    <w:p w:rsidR="001508E5" w:rsidRDefault="001508E5"/>
    <w:sectPr w:rsidR="001508E5" w:rsidSect="0015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3779"/>
    <w:rsid w:val="001508E5"/>
    <w:rsid w:val="006E4AF7"/>
    <w:rsid w:val="00C23779"/>
    <w:rsid w:val="00E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5"/>
  </w:style>
  <w:style w:type="paragraph" w:styleId="1">
    <w:name w:val="heading 1"/>
    <w:basedOn w:val="a"/>
    <w:link w:val="10"/>
    <w:uiPriority w:val="9"/>
    <w:qFormat/>
    <w:rsid w:val="00C2377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77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377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C23779"/>
  </w:style>
  <w:style w:type="character" w:customStyle="1" w:styleId="time-dimmed">
    <w:name w:val="time-dimmed"/>
    <w:basedOn w:val="a0"/>
    <w:rsid w:val="00C23779"/>
  </w:style>
  <w:style w:type="character" w:styleId="a3">
    <w:name w:val="Hyperlink"/>
    <w:basedOn w:val="a0"/>
    <w:uiPriority w:val="99"/>
    <w:semiHidden/>
    <w:unhideWhenUsed/>
    <w:rsid w:val="00C23779"/>
    <w:rPr>
      <w:color w:val="0000FF"/>
      <w:u w:val="single"/>
    </w:rPr>
  </w:style>
  <w:style w:type="character" w:customStyle="1" w:styleId="buttonlabel">
    <w:name w:val="button__label"/>
    <w:basedOn w:val="a0"/>
    <w:rsid w:val="00C2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398">
              <w:marLeft w:val="0"/>
              <w:marRight w:val="0"/>
              <w:marTop w:val="138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559">
                  <w:marLeft w:val="0"/>
                  <w:marRight w:val="0"/>
                  <w:marTop w:val="184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047">
                  <w:marLeft w:val="0"/>
                  <w:marRight w:val="0"/>
                  <w:marTop w:val="184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8687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8963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375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66402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53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878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91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95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75575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702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92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09494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75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5787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681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628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83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61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85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713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47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87796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80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681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958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008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660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515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797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18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0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788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8229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760924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341027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531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307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499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92397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538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316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019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490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3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75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9828">
              <w:marLeft w:val="0"/>
              <w:marRight w:val="0"/>
              <w:marTop w:val="0"/>
              <w:marBottom w:val="7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225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18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1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962414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2022-12-30T04:07:00Z</dcterms:created>
  <dcterms:modified xsi:type="dcterms:W3CDTF">2022-12-30T04:09:00Z</dcterms:modified>
</cp:coreProperties>
</file>